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3979B" w14:textId="77777777" w:rsidR="00026B13" w:rsidRDefault="00026B13" w:rsidP="00670C79">
      <w:pPr>
        <w:pStyle w:val="Titlu"/>
        <w:rPr>
          <w:sz w:val="24"/>
          <w:szCs w:val="24"/>
        </w:rPr>
      </w:pPr>
    </w:p>
    <w:p w14:paraId="32A50DD0" w14:textId="77777777" w:rsidR="0025682E" w:rsidRDefault="0025682E" w:rsidP="00670C79">
      <w:pPr>
        <w:pStyle w:val="Titlu"/>
        <w:rPr>
          <w:sz w:val="24"/>
          <w:szCs w:val="24"/>
        </w:rPr>
      </w:pPr>
    </w:p>
    <w:p w14:paraId="2BA52A8F" w14:textId="2B743D98" w:rsidR="0025682E" w:rsidRDefault="00670C79" w:rsidP="00611644">
      <w:pPr>
        <w:pStyle w:val="Titlu"/>
        <w:rPr>
          <w:sz w:val="24"/>
          <w:szCs w:val="24"/>
        </w:rPr>
      </w:pPr>
      <w:r w:rsidRPr="00E52A87">
        <w:rPr>
          <w:sz w:val="24"/>
          <w:szCs w:val="24"/>
        </w:rPr>
        <w:t>NOTĂ DE  FUNDAMENTARE</w:t>
      </w:r>
      <w:r w:rsidR="00662E0D">
        <w:rPr>
          <w:sz w:val="24"/>
          <w:szCs w:val="24"/>
        </w:rPr>
        <w:t xml:space="preserve"> </w:t>
      </w:r>
    </w:p>
    <w:p w14:paraId="16E1A72E" w14:textId="77777777" w:rsidR="0025682E" w:rsidRPr="0025682E" w:rsidRDefault="0025682E" w:rsidP="0025682E"/>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520BE3" w:rsidRPr="00520BE3" w14:paraId="117C71DD" w14:textId="77777777" w:rsidTr="006A5A1B">
        <w:tc>
          <w:tcPr>
            <w:tcW w:w="10206" w:type="dxa"/>
          </w:tcPr>
          <w:p w14:paraId="12BCBC7C" w14:textId="10FA58DA" w:rsidR="00611644" w:rsidRPr="00520BE3" w:rsidRDefault="00611644" w:rsidP="00F8335E">
            <w:pPr>
              <w:widowControl w:val="0"/>
              <w:spacing w:line="276" w:lineRule="auto"/>
              <w:jc w:val="both"/>
              <w:rPr>
                <w:lang w:eastAsia="ro-RO"/>
              </w:rPr>
            </w:pPr>
          </w:p>
          <w:p w14:paraId="5A2835A5" w14:textId="5AD1BA92" w:rsidR="00611644" w:rsidRPr="00520BE3" w:rsidRDefault="00611644" w:rsidP="0066428B">
            <w:pPr>
              <w:pStyle w:val="Titlu6"/>
              <w:spacing w:before="0" w:after="0" w:line="240" w:lineRule="auto"/>
              <w:jc w:val="center"/>
              <w:rPr>
                <w:sz w:val="24"/>
              </w:rPr>
            </w:pPr>
            <w:proofErr w:type="spellStart"/>
            <w:r w:rsidRPr="00520BE3">
              <w:rPr>
                <w:sz w:val="24"/>
              </w:rPr>
              <w:t>Secţiunea</w:t>
            </w:r>
            <w:proofErr w:type="spellEnd"/>
            <w:r w:rsidRPr="00520BE3">
              <w:rPr>
                <w:sz w:val="24"/>
              </w:rPr>
              <w:t xml:space="preserve"> 1</w:t>
            </w:r>
          </w:p>
          <w:p w14:paraId="19B440B1" w14:textId="63C18D1E" w:rsidR="00611644" w:rsidRPr="00520BE3" w:rsidRDefault="00611644" w:rsidP="0066428B">
            <w:pPr>
              <w:pStyle w:val="Titlu6"/>
              <w:spacing w:before="0" w:after="0" w:line="240" w:lineRule="auto"/>
              <w:jc w:val="center"/>
              <w:rPr>
                <w:sz w:val="24"/>
              </w:rPr>
            </w:pPr>
            <w:r w:rsidRPr="00520BE3">
              <w:rPr>
                <w:sz w:val="24"/>
              </w:rPr>
              <w:t>Titlul proiectului de act normativ</w:t>
            </w:r>
          </w:p>
          <w:p w14:paraId="134F9650" w14:textId="77777777" w:rsidR="0066428B" w:rsidRPr="00520BE3" w:rsidRDefault="0066428B" w:rsidP="0066428B"/>
          <w:p w14:paraId="3434B576" w14:textId="72B3C885" w:rsidR="005E318B" w:rsidRDefault="00365A86" w:rsidP="005E318B">
            <w:pPr>
              <w:widowControl w:val="0"/>
              <w:spacing w:line="276" w:lineRule="auto"/>
              <w:jc w:val="center"/>
              <w:rPr>
                <w:b/>
              </w:rPr>
            </w:pPr>
            <w:proofErr w:type="spellStart"/>
            <w:r>
              <w:rPr>
                <w:b/>
                <w:lang w:eastAsia="ro-RO"/>
              </w:rPr>
              <w:t>Ordonanţă</w:t>
            </w:r>
            <w:proofErr w:type="spellEnd"/>
            <w:r>
              <w:rPr>
                <w:b/>
                <w:lang w:eastAsia="ro-RO"/>
              </w:rPr>
              <w:t xml:space="preserve"> de urgenţă </w:t>
            </w:r>
            <w:r w:rsidR="005E318B" w:rsidRPr="00634F24">
              <w:rPr>
                <w:b/>
              </w:rPr>
              <w:t xml:space="preserve">pentru modificarea și completarea </w:t>
            </w:r>
            <w:r w:rsidR="005E318B">
              <w:rPr>
                <w:b/>
              </w:rPr>
              <w:t>unor acte normative de reglementare a fluxurilor fina</w:t>
            </w:r>
            <w:r w:rsidR="00821135">
              <w:rPr>
                <w:b/>
              </w:rPr>
              <w:t>n</w:t>
            </w:r>
            <w:r w:rsidR="005E318B">
              <w:rPr>
                <w:b/>
              </w:rPr>
              <w:t xml:space="preserve">ciare în domeniul fondurilor europene  </w:t>
            </w:r>
          </w:p>
          <w:p w14:paraId="338F09EC" w14:textId="4C9AF5FF" w:rsidR="00670C79" w:rsidRPr="00520BE3" w:rsidRDefault="00670C79" w:rsidP="00335C69">
            <w:pPr>
              <w:widowControl w:val="0"/>
              <w:spacing w:line="276" w:lineRule="auto"/>
              <w:jc w:val="both"/>
              <w:rPr>
                <w:b/>
                <w:lang w:eastAsia="ro-RO"/>
              </w:rPr>
            </w:pPr>
          </w:p>
        </w:tc>
      </w:tr>
    </w:tbl>
    <w:p w14:paraId="6E28D791" w14:textId="77777777" w:rsidR="00670C79" w:rsidRPr="00520BE3" w:rsidRDefault="00670C79" w:rsidP="00670C79">
      <w:pPr>
        <w:rPr>
          <w:lang w:eastAsia="ro-RO"/>
        </w:rPr>
      </w:pPr>
      <w:r w:rsidRPr="00520BE3">
        <w:rPr>
          <w:lang w:eastAsia="ro-RO"/>
        </w:rPr>
        <w:t xml:space="preserve"> </w:t>
      </w:r>
    </w:p>
    <w:p w14:paraId="23181ACA" w14:textId="79C7CBF8" w:rsidR="00CB78C4" w:rsidRPr="00520BE3" w:rsidRDefault="00670C79" w:rsidP="00670C79">
      <w:pPr>
        <w:rPr>
          <w:lang w:eastAsia="ro-RO"/>
        </w:rPr>
      </w:pPr>
      <w:r w:rsidRPr="00520BE3">
        <w:rPr>
          <w:lang w:eastAsia="ro-RO"/>
        </w:rPr>
        <w:t xml:space="preserve">   </w:t>
      </w:r>
      <w:r w:rsidR="002404F7">
        <w:rPr>
          <w:lang w:eastAsia="ro-RO"/>
        </w:rPr>
        <w:t xml:space="preserve">  </w:t>
      </w:r>
      <w:proofErr w:type="spellStart"/>
      <w:r w:rsidRPr="00520BE3">
        <w:rPr>
          <w:lang w:eastAsia="ro-RO"/>
        </w:rPr>
        <w:t>Secţiunea</w:t>
      </w:r>
      <w:proofErr w:type="spellEnd"/>
      <w:r w:rsidRPr="00520BE3">
        <w:rPr>
          <w:lang w:eastAsia="ro-RO"/>
        </w:rPr>
        <w:t xml:space="preserve"> a 2-a  Motivul emiterii actului normativ</w:t>
      </w:r>
      <w:r w:rsidR="0066428B" w:rsidRPr="00520BE3">
        <w:rPr>
          <w:lang w:eastAsia="ro-RO"/>
        </w:rPr>
        <w:t xml:space="preserve"> </w:t>
      </w: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7"/>
        <w:gridCol w:w="6440"/>
      </w:tblGrid>
      <w:tr w:rsidR="00520BE3" w:rsidRPr="00520BE3" w14:paraId="47D7FD1D" w14:textId="77777777" w:rsidTr="0025682E">
        <w:tc>
          <w:tcPr>
            <w:tcW w:w="3757" w:type="dxa"/>
          </w:tcPr>
          <w:p w14:paraId="6D2299AF" w14:textId="77777777" w:rsidR="00670C79" w:rsidRPr="00520BE3" w:rsidRDefault="00670C79" w:rsidP="006A5A1B">
            <w:pPr>
              <w:pStyle w:val="Corptext2"/>
              <w:rPr>
                <w:sz w:val="24"/>
                <w:lang w:eastAsia="ro-RO"/>
              </w:rPr>
            </w:pPr>
          </w:p>
          <w:p w14:paraId="636EB141" w14:textId="77777777" w:rsidR="00670C79" w:rsidRPr="00520BE3" w:rsidRDefault="00670C79" w:rsidP="00085904">
            <w:pPr>
              <w:pStyle w:val="Corptext2"/>
              <w:rPr>
                <w:sz w:val="24"/>
                <w:lang w:eastAsia="ro-RO"/>
              </w:rPr>
            </w:pPr>
            <w:r w:rsidRPr="00520BE3">
              <w:rPr>
                <w:sz w:val="24"/>
                <w:lang w:eastAsia="ro-RO"/>
              </w:rPr>
              <w:t xml:space="preserve">1.Descrierea </w:t>
            </w:r>
            <w:proofErr w:type="spellStart"/>
            <w:r w:rsidRPr="00520BE3">
              <w:rPr>
                <w:sz w:val="24"/>
                <w:lang w:eastAsia="ro-RO"/>
              </w:rPr>
              <w:t>situaţiei</w:t>
            </w:r>
            <w:proofErr w:type="spellEnd"/>
            <w:r w:rsidRPr="00520BE3">
              <w:rPr>
                <w:sz w:val="24"/>
                <w:lang w:eastAsia="ro-RO"/>
              </w:rPr>
              <w:t xml:space="preserve"> actuale</w:t>
            </w:r>
          </w:p>
        </w:tc>
        <w:tc>
          <w:tcPr>
            <w:tcW w:w="6440" w:type="dxa"/>
          </w:tcPr>
          <w:p w14:paraId="22EB26FA" w14:textId="561019A7" w:rsidR="000A71F1" w:rsidRPr="00520BE3" w:rsidRDefault="000A71F1" w:rsidP="000A71F1">
            <w:pPr>
              <w:spacing w:before="120" w:after="120"/>
              <w:jc w:val="both"/>
              <w:rPr>
                <w:lang w:eastAsia="ro-RO"/>
              </w:rPr>
            </w:pPr>
            <w:r w:rsidRPr="00520BE3">
              <w:rPr>
                <w:lang w:eastAsia="ro-RO"/>
              </w:rPr>
              <w:t>Ordonanța de urgență a Guvernului nr. 40/2015 privind gestionarea financiară a fondurilor europene pentru perioada de programare 2014-2020,</w:t>
            </w:r>
            <w:r w:rsidR="004B13DF" w:rsidRPr="00520BE3">
              <w:rPr>
                <w:lang w:eastAsia="ro-RO"/>
              </w:rPr>
              <w:t xml:space="preserve"> </w:t>
            </w:r>
            <w:r w:rsidR="004B13DF" w:rsidRPr="00520BE3">
              <w:rPr>
                <w:rFonts w:eastAsiaTheme="minorHAnsi"/>
                <w:iCs/>
              </w:rPr>
              <w:t>aprobată cu modificări și completări prin Legea nr. 105/2016,</w:t>
            </w:r>
            <w:r w:rsidRPr="00520BE3">
              <w:rPr>
                <w:lang w:eastAsia="ro-RO"/>
              </w:rPr>
              <w:t xml:space="preserve"> cu modificările și completările ulterioare,  stabilește cadrul financiar general pentru gestionarea asistenței financiare nerambursabile alocate României din Fondul European de Dezvoltare Regională, Fondul Social European, Fondul de Coeziune și Fondul de ajutor european destinat celor mai defavorizate persoane în perioada de programare 2014-2020, precum și a </w:t>
            </w:r>
            <w:proofErr w:type="spellStart"/>
            <w:r w:rsidRPr="00520BE3">
              <w:rPr>
                <w:lang w:eastAsia="ro-RO"/>
              </w:rPr>
              <w:t>prefinanțării</w:t>
            </w:r>
            <w:proofErr w:type="spellEnd"/>
            <w:r w:rsidRPr="00520BE3">
              <w:rPr>
                <w:lang w:eastAsia="ro-RO"/>
              </w:rPr>
              <w:t xml:space="preserve"> și cofinanțării aferente acestei asistențe, în vederea asigurării unui management financiar eficient al acestor fonduri.</w:t>
            </w:r>
          </w:p>
          <w:p w14:paraId="7FC6F357" w14:textId="4ADA87CE" w:rsidR="00972192" w:rsidRPr="00520BE3" w:rsidRDefault="000A71F1" w:rsidP="00972192">
            <w:pPr>
              <w:jc w:val="both"/>
            </w:pPr>
            <w:r w:rsidRPr="00520BE3">
              <w:rPr>
                <w:lang w:eastAsia="ro-RO"/>
              </w:rPr>
              <w:t xml:space="preserve">Potrivit art. 6 alin. (2) din OUG nr. 40/2015, </w:t>
            </w:r>
            <w:r w:rsidR="004B13DF" w:rsidRPr="00520BE3">
              <w:rPr>
                <w:rFonts w:eastAsiaTheme="minorHAnsi"/>
                <w:iCs/>
              </w:rPr>
              <w:t xml:space="preserve">aprobată cu modificări și completări prin Legea nr. 105/2016, </w:t>
            </w:r>
            <w:r w:rsidRPr="00520BE3">
              <w:rPr>
                <w:lang w:eastAsia="ro-RO"/>
              </w:rPr>
              <w:t xml:space="preserve">cu modificările și completările ulterioare, </w:t>
            </w:r>
            <w:r w:rsidRPr="00520BE3">
              <w:t xml:space="preserve">în bugetul Ministerului Transporturilor, Infrastructurii şi </w:t>
            </w:r>
            <w:proofErr w:type="spellStart"/>
            <w:r w:rsidRPr="00520BE3">
              <w:t>Comunicaţiilor</w:t>
            </w:r>
            <w:proofErr w:type="spellEnd"/>
            <w:r w:rsidRPr="00520BE3">
              <w:t xml:space="preserve"> se cuprind creditele de angajament şi creditele bugetare aferente valorii totale a proiectelor din domeniul transporturilor, ai căror beneficiari </w:t>
            </w:r>
            <w:proofErr w:type="spellStart"/>
            <w:r w:rsidRPr="00520BE3">
              <w:t>identificaţi</w:t>
            </w:r>
            <w:proofErr w:type="spellEnd"/>
            <w:r w:rsidRPr="00520BE3">
              <w:t xml:space="preserve"> în ghidurile solicitantului sunt </w:t>
            </w:r>
            <w:proofErr w:type="spellStart"/>
            <w:r w:rsidRPr="00520BE3">
              <w:t>unităţile</w:t>
            </w:r>
            <w:proofErr w:type="spellEnd"/>
            <w:r w:rsidRPr="00520BE3">
              <w:t xml:space="preserve"> care </w:t>
            </w:r>
            <w:proofErr w:type="spellStart"/>
            <w:r w:rsidRPr="00520BE3">
              <w:t>funcţionează</w:t>
            </w:r>
            <w:proofErr w:type="spellEnd"/>
            <w:r w:rsidRPr="00520BE3">
              <w:t xml:space="preserve"> sub autoritatea sau în coordonarea Ministerului Transporturilor, Infrastructurii şi </w:t>
            </w:r>
            <w:proofErr w:type="spellStart"/>
            <w:r w:rsidRPr="00520BE3">
              <w:t>Comunicaţiilor</w:t>
            </w:r>
            <w:proofErr w:type="spellEnd"/>
            <w:r w:rsidRPr="00520BE3">
              <w:t>.</w:t>
            </w:r>
            <w:r w:rsidR="00087383" w:rsidRPr="00520BE3">
              <w:t xml:space="preserve"> </w:t>
            </w:r>
          </w:p>
          <w:p w14:paraId="6BFF650D" w14:textId="6EAB4DA1" w:rsidR="00972192" w:rsidRDefault="00972192" w:rsidP="00972192">
            <w:pPr>
              <w:jc w:val="both"/>
            </w:pPr>
            <w:r w:rsidRPr="00520BE3">
              <w:t xml:space="preserve">Ținând cont de faptul că pregătirea, elaborarea și aprobarea documentațiilor tehnico-economice pentru proiectele de infrastructură din domenii de importanță strategică pentru România cum sunt: infrastructura de transport, inclusiv transport </w:t>
            </w:r>
            <w:proofErr w:type="spellStart"/>
            <w:r w:rsidRPr="00520BE3">
              <w:t>intermodal</w:t>
            </w:r>
            <w:proofErr w:type="spellEnd"/>
            <w:r w:rsidRPr="00520BE3">
              <w:t xml:space="preserve">, necesită perioade de timp de aproximativ 2-3 ani, elaborarea acestora trebuie demarată </w:t>
            </w:r>
            <w:r w:rsidR="00AA59A0">
              <w:t>anterior</w:t>
            </w:r>
            <w:r w:rsidRPr="00520BE3">
              <w:t xml:space="preserve"> aprobării programelor operaționale (pentru perioada de programare 2021-2027) pentru a se asigura </w:t>
            </w:r>
            <w:proofErr w:type="spellStart"/>
            <w:r w:rsidRPr="00520BE3">
              <w:t>ȋn</w:t>
            </w:r>
            <w:proofErr w:type="spellEnd"/>
            <w:r w:rsidRPr="00520BE3">
              <w:t xml:space="preserve"> timp util un portofoliu de proiecte cât mai matur pentru a se diminua astfel  riscul de dezangajare la sfârșitul anului 2023</w:t>
            </w:r>
            <w:r w:rsidR="00E975A8" w:rsidRPr="00520BE3">
              <w:t>.</w:t>
            </w:r>
          </w:p>
          <w:p w14:paraId="660F5F35" w14:textId="6FAC2983" w:rsidR="000A71F1" w:rsidRPr="00520BE3" w:rsidRDefault="00972192" w:rsidP="00E975A8">
            <w:pPr>
              <w:jc w:val="both"/>
            </w:pPr>
            <w:r w:rsidRPr="00520BE3">
              <w:t xml:space="preserve">In acest context, în scopul susținerii activității CNAIR și CNCFR, au fost identificate soluții pentru pregătirea într-un termen optim a proiectelor, fiind luat în considerare faptul că unitățile </w:t>
            </w:r>
            <w:r w:rsidRPr="00520BE3">
              <w:lastRenderedPageBreak/>
              <w:t xml:space="preserve">administrativ teritoriale au demonstrat în multe cazuri o performanță ridicată în pregătirea de proiecte cu finanțare europeană, precum și în implementarea acestora. De asemenea, unitățile administrativ teritoriale au un interes crescut în dezvoltarea infrastructurii de transport care să asigure legăturile la TEN-T,  precum și pentru dezvoltarea de proiecte de transport </w:t>
            </w:r>
            <w:proofErr w:type="spellStart"/>
            <w:r w:rsidRPr="00520BE3">
              <w:t>intermodal</w:t>
            </w:r>
            <w:proofErr w:type="spellEnd"/>
            <w:r w:rsidRPr="00520BE3">
              <w:t>. </w:t>
            </w:r>
            <w:r w:rsidR="00B30D09" w:rsidRPr="00520BE3">
              <w:t xml:space="preserve">Astfel, este necesară cuprinderea în bugetul Ministerului Transporturilor, Infrastructurii şi </w:t>
            </w:r>
            <w:r w:rsidR="00267571" w:rsidRPr="00520BE3">
              <w:t>Comunicațiilor</w:t>
            </w:r>
            <w:r w:rsidR="00B30D09" w:rsidRPr="00520BE3">
              <w:t xml:space="preserve"> a creditelor de angajament şi a creditelor bugetare aferente valorii totale a proiectelor din domeniul transporturilor pentru </w:t>
            </w:r>
            <w:r w:rsidR="0080159B">
              <w:t xml:space="preserve"> care unitățile</w:t>
            </w:r>
            <w:r w:rsidR="0080159B" w:rsidRPr="0080159B">
              <w:t xml:space="preserve"> admini</w:t>
            </w:r>
            <w:r w:rsidR="0080159B">
              <w:t>strativ-teritoriale/asociațiile</w:t>
            </w:r>
            <w:r w:rsidR="0080159B" w:rsidRPr="0080159B">
              <w:t xml:space="preserve"> de dezvol</w:t>
            </w:r>
            <w:r w:rsidR="0080159B">
              <w:t>tare intercomunitară/asocierile</w:t>
            </w:r>
            <w:r w:rsidR="0080159B" w:rsidRPr="0080159B">
              <w:t xml:space="preserve"> dintre acestea</w:t>
            </w:r>
            <w:r w:rsidR="0080159B">
              <w:t xml:space="preserve"> au calitatea de beneficiar</w:t>
            </w:r>
            <w:r w:rsidR="0067280E">
              <w:t>,</w:t>
            </w:r>
            <w:r w:rsidR="0080159B">
              <w:t xml:space="preserve"> implementează proiecte în parteneriat cu </w:t>
            </w:r>
            <w:r w:rsidR="0080159B" w:rsidRPr="0080159B">
              <w:t>C</w:t>
            </w:r>
            <w:r w:rsidR="0080159B">
              <w:t>N</w:t>
            </w:r>
            <w:r w:rsidR="0080159B" w:rsidRPr="0080159B">
              <w:t xml:space="preserve">AIR </w:t>
            </w:r>
            <w:r w:rsidR="0080159B">
              <w:t>sau</w:t>
            </w:r>
            <w:r w:rsidR="0080159B" w:rsidRPr="0080159B">
              <w:t xml:space="preserve"> CNCFR</w:t>
            </w:r>
            <w:r w:rsidR="0067280E">
              <w:t xml:space="preserve"> sau pe bază de protocol de implementare încheiat cu CNAIR</w:t>
            </w:r>
            <w:r w:rsidR="00B30D09" w:rsidRPr="00520BE3">
              <w:t xml:space="preserve">. </w:t>
            </w:r>
          </w:p>
          <w:p w14:paraId="3F1395AB" w14:textId="4B4316A1" w:rsidR="00F8335E" w:rsidRDefault="00C90AE0" w:rsidP="00E975A8">
            <w:pPr>
              <w:jc w:val="both"/>
              <w:rPr>
                <w:lang w:eastAsia="ro-RO"/>
              </w:rPr>
            </w:pPr>
            <w:r w:rsidRPr="00520BE3">
              <w:rPr>
                <w:lang w:eastAsia="ro-RO"/>
              </w:rPr>
              <w:t xml:space="preserve">Prin OUG nr. 43/2020 pentru aprobarea unor măsuri de sprijin decontate din fonduri europene, ca urmare a răspândirii </w:t>
            </w:r>
            <w:proofErr w:type="spellStart"/>
            <w:r w:rsidRPr="00520BE3">
              <w:rPr>
                <w:lang w:eastAsia="ro-RO"/>
              </w:rPr>
              <w:t>coronavirusului</w:t>
            </w:r>
            <w:proofErr w:type="spellEnd"/>
            <w:r w:rsidRPr="00520BE3">
              <w:rPr>
                <w:lang w:eastAsia="ro-RO"/>
              </w:rPr>
              <w:t xml:space="preserve"> COVID-19, pe perioada stării de urgenţă, cu modificările și completările ulterioare  s-a aprobat decontarea din fondurile europene aferente Programului </w:t>
            </w:r>
            <w:proofErr w:type="spellStart"/>
            <w:r w:rsidR="00674168">
              <w:rPr>
                <w:lang w:eastAsia="ro-RO"/>
              </w:rPr>
              <w:t>O</w:t>
            </w:r>
            <w:r w:rsidRPr="00520BE3">
              <w:rPr>
                <w:lang w:eastAsia="ro-RO"/>
              </w:rPr>
              <w:t>peraţional</w:t>
            </w:r>
            <w:proofErr w:type="spellEnd"/>
            <w:r w:rsidRPr="00520BE3">
              <w:rPr>
                <w:lang w:eastAsia="ro-RO"/>
              </w:rPr>
              <w:t xml:space="preserve"> Infrastructură </w:t>
            </w:r>
            <w:r w:rsidR="00674168">
              <w:rPr>
                <w:lang w:eastAsia="ro-RO"/>
              </w:rPr>
              <w:t>M</w:t>
            </w:r>
            <w:r w:rsidRPr="00520BE3">
              <w:rPr>
                <w:lang w:eastAsia="ro-RO"/>
              </w:rPr>
              <w:t>are</w:t>
            </w:r>
            <w:r w:rsidR="000E3A58">
              <w:rPr>
                <w:lang w:eastAsia="ro-RO"/>
              </w:rPr>
              <w:t xml:space="preserve"> (POIM)</w:t>
            </w:r>
            <w:r w:rsidRPr="00520BE3">
              <w:rPr>
                <w:lang w:eastAsia="ro-RO"/>
              </w:rPr>
              <w:t xml:space="preserve">, conform regulilor de eligibilitate, a cheltuielilor cu echipamente medicale, dispozitive medicale şi de </w:t>
            </w:r>
            <w:proofErr w:type="spellStart"/>
            <w:r w:rsidRPr="00520BE3">
              <w:rPr>
                <w:lang w:eastAsia="ro-RO"/>
              </w:rPr>
              <w:t>protecţie</w:t>
            </w:r>
            <w:proofErr w:type="spellEnd"/>
            <w:r w:rsidRPr="00520BE3">
              <w:rPr>
                <w:lang w:eastAsia="ro-RO"/>
              </w:rPr>
              <w:t xml:space="preserve"> medicală, echipamente pentru transport specializat, echipamente pentru decontaminare şi suport triaj, containere de logistică medicală, </w:t>
            </w:r>
            <w:proofErr w:type="spellStart"/>
            <w:r w:rsidRPr="00520BE3">
              <w:rPr>
                <w:lang w:eastAsia="ro-RO"/>
              </w:rPr>
              <w:t>capabilităţi</w:t>
            </w:r>
            <w:proofErr w:type="spellEnd"/>
            <w:r w:rsidRPr="00520BE3">
              <w:rPr>
                <w:lang w:eastAsia="ro-RO"/>
              </w:rPr>
              <w:t>/</w:t>
            </w:r>
            <w:proofErr w:type="spellStart"/>
            <w:r w:rsidRPr="00520BE3">
              <w:rPr>
                <w:lang w:eastAsia="ro-RO"/>
              </w:rPr>
              <w:t>formaţiuni</w:t>
            </w:r>
            <w:proofErr w:type="spellEnd"/>
            <w:r w:rsidRPr="00520BE3">
              <w:rPr>
                <w:lang w:eastAsia="ro-RO"/>
              </w:rPr>
              <w:t xml:space="preserve"> medicale mobile de diagnostic şi tratament utilizate în combaterea răspândirii </w:t>
            </w:r>
            <w:proofErr w:type="spellStart"/>
            <w:r w:rsidRPr="00520BE3">
              <w:rPr>
                <w:lang w:eastAsia="ro-RO"/>
              </w:rPr>
              <w:t>coronavirusului</w:t>
            </w:r>
            <w:proofErr w:type="spellEnd"/>
            <w:r w:rsidRPr="00520BE3">
              <w:rPr>
                <w:lang w:eastAsia="ro-RO"/>
              </w:rPr>
              <w:t xml:space="preserve"> COVID-19 (art. 6 alin. (1)), având ca beneficiari: </w:t>
            </w:r>
            <w:r w:rsidR="006C3986" w:rsidRPr="00520BE3">
              <w:rPr>
                <w:lang w:eastAsia="ro-RO"/>
              </w:rPr>
              <w:t>s</w:t>
            </w:r>
            <w:r w:rsidRPr="00520BE3">
              <w:rPr>
                <w:lang w:eastAsia="ro-RO"/>
              </w:rPr>
              <w:t xml:space="preserve">pitalele, </w:t>
            </w:r>
            <w:r w:rsidR="006C3986" w:rsidRPr="00520BE3">
              <w:rPr>
                <w:lang w:eastAsia="ro-RO"/>
              </w:rPr>
              <w:t>a</w:t>
            </w:r>
            <w:r w:rsidRPr="00520BE3">
              <w:rPr>
                <w:lang w:eastAsia="ro-RO"/>
              </w:rPr>
              <w:t>lte unități sanitare publice cu personalitate juridică în care sunt tratate cazuri de infecție COVID-19</w:t>
            </w:r>
            <w:r w:rsidR="00674168">
              <w:rPr>
                <w:lang w:eastAsia="ro-RO"/>
              </w:rPr>
              <w:t>,</w:t>
            </w:r>
            <w:r w:rsidR="006C3986" w:rsidRPr="00520BE3">
              <w:rPr>
                <w:lang w:eastAsia="ro-RO"/>
              </w:rPr>
              <w:t xml:space="preserve"> u</w:t>
            </w:r>
            <w:r w:rsidRPr="00520BE3">
              <w:rPr>
                <w:lang w:eastAsia="ro-RO"/>
              </w:rPr>
              <w:t xml:space="preserve">nități sanitare cu personalitate juridică aferente sistemului </w:t>
            </w:r>
            <w:proofErr w:type="spellStart"/>
            <w:r w:rsidRPr="00520BE3">
              <w:rPr>
                <w:lang w:eastAsia="ro-RO"/>
              </w:rPr>
              <w:t>naţional</w:t>
            </w:r>
            <w:proofErr w:type="spellEnd"/>
            <w:r w:rsidRPr="00520BE3">
              <w:rPr>
                <w:lang w:eastAsia="ro-RO"/>
              </w:rPr>
              <w:t xml:space="preserve"> de apărare, ordine publică şi securitate naţională în care sunt tratate cazuri de infecție COVID-19</w:t>
            </w:r>
            <w:r w:rsidR="00674168">
              <w:rPr>
                <w:lang w:eastAsia="ro-RO"/>
              </w:rPr>
              <w:t>,</w:t>
            </w:r>
            <w:r w:rsidR="006C3986" w:rsidRPr="00520BE3">
              <w:rPr>
                <w:lang w:eastAsia="ro-RO"/>
              </w:rPr>
              <w:t xml:space="preserve"> </w:t>
            </w:r>
            <w:r w:rsidRPr="00520BE3">
              <w:rPr>
                <w:lang w:eastAsia="ro-RO"/>
              </w:rPr>
              <w:t>Ministerul Sănătății / alte autorități publice centrale sau autorități publice locale care au derulat / derulează achiziții în beneficiul unor unități sanitare publice eligibile</w:t>
            </w:r>
            <w:r w:rsidR="00D24521" w:rsidRPr="00520BE3">
              <w:rPr>
                <w:lang w:eastAsia="ro-RO"/>
              </w:rPr>
              <w:t>, etc</w:t>
            </w:r>
            <w:r w:rsidRPr="00520BE3">
              <w:rPr>
                <w:lang w:eastAsia="ro-RO"/>
              </w:rPr>
              <w:t>.</w:t>
            </w:r>
          </w:p>
          <w:p w14:paraId="272938C9" w14:textId="67C8007E" w:rsidR="00EF067B" w:rsidRDefault="00EF0CD0" w:rsidP="00EF067B">
            <w:pPr>
              <w:jc w:val="both"/>
              <w:rPr>
                <w:lang w:eastAsia="ro-RO"/>
              </w:rPr>
            </w:pPr>
            <w:r w:rsidRPr="00520BE3">
              <w:rPr>
                <w:lang w:eastAsia="ro-RO"/>
              </w:rPr>
              <w:t>Î</w:t>
            </w:r>
            <w:r w:rsidR="006C3986" w:rsidRPr="00520BE3">
              <w:rPr>
                <w:lang w:eastAsia="ro-RO"/>
              </w:rPr>
              <w:t xml:space="preserve">n scopul limitării răspândirii </w:t>
            </w:r>
            <w:proofErr w:type="spellStart"/>
            <w:r w:rsidR="00674168">
              <w:rPr>
                <w:lang w:eastAsia="ro-RO"/>
              </w:rPr>
              <w:t>corona</w:t>
            </w:r>
            <w:r w:rsidR="006C3986" w:rsidRPr="00520BE3">
              <w:rPr>
                <w:lang w:eastAsia="ro-RO"/>
              </w:rPr>
              <w:t>virusului</w:t>
            </w:r>
            <w:proofErr w:type="spellEnd"/>
            <w:r w:rsidR="006C3986" w:rsidRPr="00520BE3">
              <w:rPr>
                <w:lang w:eastAsia="ro-RO"/>
              </w:rPr>
              <w:t>, precum și</w:t>
            </w:r>
            <w:r w:rsidR="00674168">
              <w:rPr>
                <w:lang w:eastAsia="ro-RO"/>
              </w:rPr>
              <w:t xml:space="preserve"> pentru reducerea</w:t>
            </w:r>
            <w:r w:rsidR="006C3986" w:rsidRPr="00520BE3">
              <w:rPr>
                <w:lang w:eastAsia="ro-RO"/>
              </w:rPr>
              <w:t xml:space="preserve"> efectelor extrem de grave ale acestuia asupra populației României</w:t>
            </w:r>
            <w:r w:rsidR="00674168">
              <w:rPr>
                <w:lang w:eastAsia="ro-RO"/>
              </w:rPr>
              <w:t>,</w:t>
            </w:r>
            <w:r w:rsidRPr="00520BE3">
              <w:rPr>
                <w:lang w:eastAsia="ro-RO"/>
              </w:rPr>
              <w:t xml:space="preserve"> se impune</w:t>
            </w:r>
            <w:r w:rsidR="006C3986" w:rsidRPr="00520BE3">
              <w:rPr>
                <w:lang w:eastAsia="ro-RO"/>
              </w:rPr>
              <w:t xml:space="preserve"> asigurarea disponibilității aparaturii și dispozitivelor medicale, în special ventilatoare, paturi și infrastructura de terapie intensivă suplimentară, dublate de asigurarea necesarului de echipamente specializate de </w:t>
            </w:r>
            <w:proofErr w:type="spellStart"/>
            <w:r w:rsidR="006C3986" w:rsidRPr="00520BE3">
              <w:rPr>
                <w:lang w:eastAsia="ro-RO"/>
              </w:rPr>
              <w:t>protecţie</w:t>
            </w:r>
            <w:proofErr w:type="spellEnd"/>
            <w:r w:rsidR="006C3986" w:rsidRPr="00520BE3">
              <w:rPr>
                <w:lang w:eastAsia="ro-RO"/>
              </w:rPr>
              <w:t xml:space="preserve"> pentru personalul medical şi pentru efectuarea transportului izolat al persoanelor afectate.</w:t>
            </w:r>
            <w:r w:rsidR="00EF067B" w:rsidRPr="00520BE3">
              <w:rPr>
                <w:lang w:eastAsia="ro-RO"/>
              </w:rPr>
              <w:t xml:space="preserve"> </w:t>
            </w:r>
          </w:p>
          <w:p w14:paraId="3DE54F3E" w14:textId="0DD940BA" w:rsidR="00EF067B" w:rsidRDefault="00EF067B" w:rsidP="00EF067B">
            <w:pPr>
              <w:jc w:val="both"/>
              <w:rPr>
                <w:lang w:eastAsia="ro-RO"/>
              </w:rPr>
            </w:pPr>
            <w:r w:rsidRPr="00520BE3">
              <w:rPr>
                <w:lang w:eastAsia="ro-RO"/>
              </w:rPr>
              <w:t xml:space="preserve">Art. 20 alin. (1) din OUG nr. 40/2015, </w:t>
            </w:r>
            <w:r w:rsidRPr="00520BE3">
              <w:rPr>
                <w:rFonts w:eastAsiaTheme="minorHAnsi"/>
                <w:iCs/>
              </w:rPr>
              <w:t>aprobată cu modificări și completări prin Legea nr. 105/2016,</w:t>
            </w:r>
            <w:r w:rsidRPr="00520BE3">
              <w:rPr>
                <w:lang w:eastAsia="ro-RO"/>
              </w:rPr>
              <w:t xml:space="preserve"> cu modificările și completările ulterioare, prevede următoarele: „Mecanismul decontării cererilor de plată se aplică beneficiarilor de proiecte finanţate din fonduri europene, </w:t>
            </w:r>
            <w:proofErr w:type="spellStart"/>
            <w:r w:rsidRPr="00520BE3">
              <w:rPr>
                <w:lang w:eastAsia="ro-RO"/>
              </w:rPr>
              <w:t>alţii</w:t>
            </w:r>
            <w:proofErr w:type="spellEnd"/>
            <w:r w:rsidRPr="00520BE3">
              <w:rPr>
                <w:lang w:eastAsia="ro-RO"/>
              </w:rPr>
              <w:t xml:space="preserve"> decât cei prevăzuţi la art. 6 alin. (1)-(4) şi (6)”. Astfel, acest mecanism nu este aplicabil beneficiarilor care sunt finanțați integral din bugetul de stat, </w:t>
            </w:r>
            <w:r w:rsidRPr="00520BE3">
              <w:rPr>
                <w:lang w:eastAsia="ro-RO"/>
              </w:rPr>
              <w:lastRenderedPageBreak/>
              <w:t>bugetul asigurărilor sociale de stat sau din bugetele fondurilor speciale.</w:t>
            </w:r>
          </w:p>
          <w:p w14:paraId="15CB793C" w14:textId="74C7D4B0" w:rsidR="00EF067B" w:rsidRDefault="00EF067B" w:rsidP="00EF067B">
            <w:pPr>
              <w:jc w:val="both"/>
              <w:rPr>
                <w:lang w:eastAsia="ro-RO"/>
              </w:rPr>
            </w:pPr>
            <w:r>
              <w:rPr>
                <w:lang w:eastAsia="ro-RO"/>
              </w:rPr>
              <w:t>Potrivit prevederilor din OUG nr. 40/2014, art. 6 alin (1), î</w:t>
            </w:r>
            <w:r w:rsidRPr="00EF067B">
              <w:rPr>
                <w:lang w:eastAsia="ro-RO"/>
              </w:rPr>
              <w:t>n bugetele beneficiarilor care sunt finanțați integral din bugetul de stat, bugetul asigurărilor sociale de stat sau bugetele fondurilor speciale se cuprind creditele de angajament și creditele bugetare aferente valorii totale a proiectelor proprii finanțate din fonduri europene, cu respectarea prevederilor</w:t>
            </w:r>
            <w:r>
              <w:rPr>
                <w:lang w:eastAsia="ro-RO"/>
              </w:rPr>
              <w:t xml:space="preserve"> </w:t>
            </w:r>
            <w:r w:rsidRPr="00EF067B">
              <w:rPr>
                <w:lang w:eastAsia="ro-RO"/>
              </w:rPr>
              <w:t>art. 11</w:t>
            </w:r>
            <w:r>
              <w:rPr>
                <w:lang w:eastAsia="ro-RO"/>
              </w:rPr>
              <w:t>. În absența bugetului necesar</w:t>
            </w:r>
            <w:r w:rsidR="00B34C51">
              <w:rPr>
                <w:lang w:eastAsia="ro-RO"/>
              </w:rPr>
              <w:t>,</w:t>
            </w:r>
            <w:r>
              <w:rPr>
                <w:lang w:eastAsia="ro-RO"/>
              </w:rPr>
              <w:t xml:space="preserve"> beneficiarii reglementați la art. 6 alin (1) nu pot derula proiectele pentru a </w:t>
            </w:r>
            <w:r w:rsidR="00C51826">
              <w:rPr>
                <w:lang w:eastAsia="ro-RO"/>
              </w:rPr>
              <w:t xml:space="preserve">solicita </w:t>
            </w:r>
            <w:r>
              <w:rPr>
                <w:lang w:eastAsia="ro-RO"/>
              </w:rPr>
              <w:t xml:space="preserve">cheltuielile </w:t>
            </w:r>
            <w:r w:rsidR="00C51826">
              <w:rPr>
                <w:lang w:eastAsia="ro-RO"/>
              </w:rPr>
              <w:t xml:space="preserve">la </w:t>
            </w:r>
            <w:r>
              <w:rPr>
                <w:lang w:eastAsia="ro-RO"/>
              </w:rPr>
              <w:t xml:space="preserve">rambursare </w:t>
            </w:r>
            <w:r w:rsidR="005B716F">
              <w:rPr>
                <w:lang w:eastAsia="ro-RO"/>
              </w:rPr>
              <w:t>din fonduri europene</w:t>
            </w:r>
            <w:r>
              <w:rPr>
                <w:lang w:eastAsia="ro-RO"/>
              </w:rPr>
              <w:t xml:space="preserve">. </w:t>
            </w:r>
          </w:p>
          <w:p w14:paraId="3EDADCD9" w14:textId="77777777" w:rsidR="001F733F" w:rsidRDefault="00C51826">
            <w:pPr>
              <w:spacing w:before="120" w:after="120"/>
              <w:jc w:val="both"/>
            </w:pPr>
            <w:r>
              <w:rPr>
                <w:lang w:eastAsia="ro-RO"/>
              </w:rPr>
              <w:t>Având în vedere urgența semnării contractelor de finanțare și a implementării acestor proiecte, e</w:t>
            </w:r>
            <w:r w:rsidR="00EF0CD0" w:rsidRPr="00520BE3">
              <w:rPr>
                <w:lang w:eastAsia="ro-RO"/>
              </w:rPr>
              <w:t>ste necesară asigurarea resurselor financiare pentru achiziționarea, în regim de urgență, a aparaturii și echipamentelor sus-menționate</w:t>
            </w:r>
            <w:r w:rsidR="005B716F">
              <w:rPr>
                <w:lang w:eastAsia="ro-RO"/>
              </w:rPr>
              <w:t>,</w:t>
            </w:r>
            <w:r w:rsidR="00EF0CD0" w:rsidRPr="00520BE3">
              <w:rPr>
                <w:lang w:eastAsia="ro-RO"/>
              </w:rPr>
              <w:t xml:space="preserve"> prin aplicarea temporară a mecanismului cererilor de plată </w:t>
            </w:r>
            <w:r w:rsidR="005B716F">
              <w:rPr>
                <w:lang w:eastAsia="ro-RO"/>
              </w:rPr>
              <w:t>(reglementat la art.</w:t>
            </w:r>
            <w:r w:rsidR="007D383B">
              <w:rPr>
                <w:lang w:eastAsia="ro-RO"/>
              </w:rPr>
              <w:t xml:space="preserve"> </w:t>
            </w:r>
            <w:r w:rsidR="005B716F">
              <w:rPr>
                <w:lang w:eastAsia="ro-RO"/>
              </w:rPr>
              <w:t xml:space="preserve">20 din OUG nr. 40/2015) </w:t>
            </w:r>
            <w:r w:rsidR="00EF0CD0" w:rsidRPr="00520BE3">
              <w:rPr>
                <w:lang w:eastAsia="ro-RO"/>
              </w:rPr>
              <w:t xml:space="preserve">și beneficiarilor </w:t>
            </w:r>
            <w:proofErr w:type="spellStart"/>
            <w:r w:rsidR="00EF0CD0" w:rsidRPr="00520BE3">
              <w:t>finanţaţi</w:t>
            </w:r>
            <w:proofErr w:type="spellEnd"/>
            <w:r w:rsidR="00EF0CD0" w:rsidRPr="00520BE3">
              <w:t xml:space="preserve"> integral din bugetul de stat, bugetul asigurărilor sociale de stat sau bugetele fondurilor speciale.</w:t>
            </w:r>
            <w:r w:rsidR="005B716F">
              <w:t xml:space="preserve"> </w:t>
            </w:r>
          </w:p>
          <w:p w14:paraId="12485583" w14:textId="3AC16C6B" w:rsidR="007D383B" w:rsidRDefault="007D383B">
            <w:pPr>
              <w:spacing w:before="120" w:after="120"/>
              <w:jc w:val="both"/>
              <w:rPr>
                <w:lang w:eastAsia="ro-RO"/>
              </w:rPr>
            </w:pPr>
            <w:r>
              <w:rPr>
                <w:lang w:eastAsia="ro-RO"/>
              </w:rPr>
              <w:t xml:space="preserve">Ministerul Muncii și </w:t>
            </w:r>
            <w:r w:rsidRPr="007D383B">
              <w:rPr>
                <w:lang w:eastAsia="ro-RO"/>
              </w:rPr>
              <w:t xml:space="preserve">Protecției </w:t>
            </w:r>
            <w:r>
              <w:rPr>
                <w:lang w:eastAsia="ro-RO"/>
              </w:rPr>
              <w:t xml:space="preserve">Sociale (MMPS) </w:t>
            </w:r>
            <w:r w:rsidRPr="007D383B">
              <w:rPr>
                <w:lang w:eastAsia="ro-RO"/>
              </w:rPr>
              <w:t>implementează, în calitate de solicitant, proiectul “Sprijin pentru persoanele vulnerabile în contextul epidemiei COVID-19”. Conform cererii de finanțare aprobate, activitatea 1.2 a proiectului const</w:t>
            </w:r>
            <w:r w:rsidR="00B34C51">
              <w:rPr>
                <w:lang w:eastAsia="ro-RO"/>
              </w:rPr>
              <w:t>ă</w:t>
            </w:r>
            <w:r w:rsidRPr="007D383B">
              <w:rPr>
                <w:lang w:eastAsia="ro-RO"/>
              </w:rPr>
              <w:t xml:space="preserve"> în: “</w:t>
            </w:r>
            <w:r>
              <w:rPr>
                <w:lang w:eastAsia="ro-RO"/>
              </w:rPr>
              <w:t xml:space="preserve"> În baza acestor acorduri de sprijin se vor face plățile de către MMPS către acești furnizori</w:t>
            </w:r>
            <w:r w:rsidR="00721E13">
              <w:rPr>
                <w:lang w:eastAsia="ro-RO"/>
              </w:rPr>
              <w:t xml:space="preserve"> în cuantum de maxim 16.800 euro, echivalentul în RON </w:t>
            </w:r>
            <w:r w:rsidR="006308CD">
              <w:rPr>
                <w:lang w:eastAsia="ro-RO"/>
              </w:rPr>
              <w:t>la cursul de semnare a contractului de finanțare. Ulterior acordării sprijinului financiar de către MMPS vor fi efectuate de către furnizori următoarele cheltuieli</w:t>
            </w:r>
            <w:r w:rsidR="006308CD">
              <w:rPr>
                <w:lang w:val="en-GB" w:eastAsia="ro-RO"/>
              </w:rPr>
              <w:t xml:space="preserve">: </w:t>
            </w:r>
            <w:proofErr w:type="spellStart"/>
            <w:r w:rsidR="000B55D8">
              <w:rPr>
                <w:lang w:val="en-GB" w:eastAsia="ro-RO"/>
              </w:rPr>
              <w:t>salarii</w:t>
            </w:r>
            <w:proofErr w:type="spellEnd"/>
            <w:r w:rsidR="000B55D8">
              <w:rPr>
                <w:lang w:val="en-GB" w:eastAsia="ro-RO"/>
              </w:rPr>
              <w:t>/</w:t>
            </w:r>
            <w:proofErr w:type="spellStart"/>
            <w:r w:rsidR="000B55D8">
              <w:rPr>
                <w:lang w:val="en-GB" w:eastAsia="ro-RO"/>
              </w:rPr>
              <w:t>stimulente</w:t>
            </w:r>
            <w:proofErr w:type="spellEnd"/>
            <w:r w:rsidR="000B55D8">
              <w:rPr>
                <w:lang w:val="en-GB" w:eastAsia="ro-RO"/>
              </w:rPr>
              <w:t xml:space="preserve"> </w:t>
            </w:r>
            <w:r w:rsidR="000B55D8">
              <w:rPr>
                <w:lang w:eastAsia="ro-RO"/>
              </w:rPr>
              <w:t>pentru persoanele implicate în furnizarea serviciilor de sprijin, materiale specifice pentru protecția colectivă și individuală, atât pentru personalul implicat în furnizarea serviciilor de sprijin, cât și pentru beneficiarii acestor servicii</w:t>
            </w:r>
            <w:r w:rsidR="000B55D8">
              <w:rPr>
                <w:lang w:val="en-GB" w:eastAsia="ro-RO"/>
              </w:rPr>
              <w:t xml:space="preserve">; </w:t>
            </w:r>
            <w:r w:rsidR="000B55D8">
              <w:rPr>
                <w:lang w:eastAsia="ro-RO"/>
              </w:rPr>
              <w:t>asigurarea de materiale, consumabile specifice pentru dezinfecția și igienizarea locuințelor, mijloacelor de transport</w:t>
            </w:r>
            <w:r w:rsidR="00B510BF">
              <w:rPr>
                <w:lang w:eastAsia="ro-RO"/>
              </w:rPr>
              <w:t>, bunurilor și echipamentelor, etc. Ulterior efectuării plăților, furnizorii de servicii vor prezenta către MMPS deconturi și documente justificative care să ateste efectuarea acestor plăț</w:t>
            </w:r>
            <w:r w:rsidR="00434D7D">
              <w:rPr>
                <w:lang w:eastAsia="ro-RO"/>
              </w:rPr>
              <w:t>i.</w:t>
            </w:r>
            <w:r w:rsidRPr="007D383B">
              <w:rPr>
                <w:lang w:eastAsia="ro-RO"/>
              </w:rPr>
              <w:t>”</w:t>
            </w:r>
          </w:p>
          <w:p w14:paraId="17270185" w14:textId="0481AB3E" w:rsidR="00DC7E22" w:rsidRDefault="00DC7E22">
            <w:pPr>
              <w:spacing w:before="120" w:after="120"/>
              <w:jc w:val="both"/>
              <w:rPr>
                <w:lang w:eastAsia="ro-RO"/>
              </w:rPr>
            </w:pPr>
            <w:r w:rsidRPr="00DC7E22">
              <w:rPr>
                <w:lang w:eastAsia="ro-RO"/>
              </w:rPr>
              <w:t>În vederea implementării acestui proiect</w:t>
            </w:r>
            <w:r w:rsidR="00FA21AA">
              <w:rPr>
                <w:lang w:eastAsia="ro-RO"/>
              </w:rPr>
              <w:t>,</w:t>
            </w:r>
            <w:r w:rsidRPr="00DC7E22">
              <w:rPr>
                <w:lang w:eastAsia="ro-RO"/>
              </w:rPr>
              <w:t xml:space="preserve"> MMPS va încheia Acorduri de sprijin cu furnizorii</w:t>
            </w:r>
            <w:r>
              <w:rPr>
                <w:lang w:eastAsia="ro-RO"/>
              </w:rPr>
              <w:t xml:space="preserve"> de </w:t>
            </w:r>
            <w:r w:rsidR="00B34C51">
              <w:rPr>
                <w:lang w:eastAsia="ro-RO"/>
              </w:rPr>
              <w:t>s</w:t>
            </w:r>
            <w:r>
              <w:rPr>
                <w:lang w:eastAsia="ro-RO"/>
              </w:rPr>
              <w:t>ervicii sociale acreditați</w:t>
            </w:r>
            <w:r w:rsidR="00B34C51">
              <w:rPr>
                <w:lang w:eastAsia="ro-RO"/>
              </w:rPr>
              <w:t>,</w:t>
            </w:r>
            <w:r>
              <w:rPr>
                <w:lang w:eastAsia="ro-RO"/>
              </w:rPr>
              <w:t xml:space="preserve"> publici și privați</w:t>
            </w:r>
            <w:r w:rsidR="00B34C51">
              <w:rPr>
                <w:lang w:eastAsia="ro-RO"/>
              </w:rPr>
              <w:t>,</w:t>
            </w:r>
            <w:r>
              <w:rPr>
                <w:lang w:eastAsia="ro-RO"/>
              </w:rPr>
              <w:t xml:space="preserve"> precum și cu </w:t>
            </w:r>
            <w:r w:rsidR="00B34C51" w:rsidRPr="00B34C51">
              <w:rPr>
                <w:lang w:eastAsia="ro-RO"/>
              </w:rPr>
              <w:t xml:space="preserve">alte entități în cadrul cărora se exercită profesia de asistent social, cărora </w:t>
            </w:r>
            <w:r w:rsidR="00B34C51">
              <w:rPr>
                <w:lang w:eastAsia="ro-RO"/>
              </w:rPr>
              <w:t xml:space="preserve">le </w:t>
            </w:r>
            <w:r>
              <w:rPr>
                <w:lang w:eastAsia="ro-RO"/>
              </w:rPr>
              <w:t>acord</w:t>
            </w:r>
            <w:r w:rsidR="00B34C51">
              <w:rPr>
                <w:lang w:eastAsia="ro-RO"/>
              </w:rPr>
              <w:t>ă</w:t>
            </w:r>
            <w:r>
              <w:rPr>
                <w:lang w:eastAsia="ro-RO"/>
              </w:rPr>
              <w:t xml:space="preserve"> o primă tranșă în valoare de 50% din valoarea acordului de sprijin</w:t>
            </w:r>
            <w:r w:rsidR="00B34C51">
              <w:rPr>
                <w:lang w:eastAsia="ro-RO"/>
              </w:rPr>
              <w:t>,</w:t>
            </w:r>
            <w:r>
              <w:rPr>
                <w:lang w:eastAsia="ro-RO"/>
              </w:rPr>
              <w:t xml:space="preserve"> cu titlu de avans</w:t>
            </w:r>
            <w:r w:rsidR="00B34C51">
              <w:rPr>
                <w:lang w:eastAsia="ro-RO"/>
              </w:rPr>
              <w:t>,</w:t>
            </w:r>
            <w:r>
              <w:rPr>
                <w:lang w:eastAsia="ro-RO"/>
              </w:rPr>
              <w:t xml:space="preserve">  în termen de </w:t>
            </w:r>
            <w:r w:rsidR="000B7506">
              <w:rPr>
                <w:lang w:eastAsia="ro-RO"/>
              </w:rPr>
              <w:t xml:space="preserve">maxim 15 zile de la semnarea </w:t>
            </w:r>
            <w:r w:rsidR="00473382">
              <w:rPr>
                <w:lang w:eastAsia="ro-RO"/>
              </w:rPr>
              <w:t>acordului</w:t>
            </w:r>
            <w:r w:rsidR="000B7506">
              <w:rPr>
                <w:lang w:eastAsia="ro-RO"/>
              </w:rPr>
              <w:t>. După justificarea primei tranșe</w:t>
            </w:r>
            <w:r w:rsidR="0053190B">
              <w:rPr>
                <w:lang w:eastAsia="ro-RO"/>
              </w:rPr>
              <w:t xml:space="preserve"> </w:t>
            </w:r>
            <w:r w:rsidR="0053190B" w:rsidRPr="0053190B">
              <w:rPr>
                <w:lang w:eastAsia="ro-RO"/>
              </w:rPr>
              <w:t>Ministerul Muncii și Protecției Sociale</w:t>
            </w:r>
            <w:r w:rsidR="000B7506">
              <w:rPr>
                <w:lang w:eastAsia="ro-RO"/>
              </w:rPr>
              <w:t xml:space="preserve"> acordă o nouă tranșă</w:t>
            </w:r>
            <w:r w:rsidR="0019189C">
              <w:rPr>
                <w:lang w:eastAsia="ro-RO"/>
              </w:rPr>
              <w:t>,</w:t>
            </w:r>
            <w:r w:rsidR="000B7506">
              <w:rPr>
                <w:lang w:eastAsia="ro-RO"/>
              </w:rPr>
              <w:t xml:space="preserve"> reprezentând diferența rămasă din valoarea acordului de sprijin</w:t>
            </w:r>
            <w:r w:rsidR="0019189C">
              <w:rPr>
                <w:lang w:eastAsia="ro-RO"/>
              </w:rPr>
              <w:t>,</w:t>
            </w:r>
            <w:r w:rsidR="000B7506">
              <w:rPr>
                <w:lang w:eastAsia="ro-RO"/>
              </w:rPr>
              <w:t xml:space="preserve"> </w:t>
            </w:r>
            <w:r>
              <w:rPr>
                <w:lang w:eastAsia="ro-RO"/>
              </w:rPr>
              <w:t>ce trebuie justificată până la finalizarea acordului de sprijin.</w:t>
            </w:r>
          </w:p>
          <w:p w14:paraId="45862F79" w14:textId="26C54C1F" w:rsidR="00FA66DE" w:rsidRPr="00DC7E22" w:rsidRDefault="00FA66DE" w:rsidP="0019189C">
            <w:pPr>
              <w:spacing w:before="120" w:after="120"/>
              <w:jc w:val="both"/>
              <w:rPr>
                <w:lang w:eastAsia="ro-RO"/>
              </w:rPr>
            </w:pPr>
            <w:r>
              <w:rPr>
                <w:lang w:eastAsia="ro-RO"/>
              </w:rPr>
              <w:lastRenderedPageBreak/>
              <w:t xml:space="preserve">Având în vedere </w:t>
            </w:r>
            <w:r w:rsidR="0019189C">
              <w:rPr>
                <w:lang w:eastAsia="ro-RO"/>
              </w:rPr>
              <w:t xml:space="preserve">faptul </w:t>
            </w:r>
            <w:r>
              <w:rPr>
                <w:lang w:eastAsia="ro-RO"/>
              </w:rPr>
              <w:t xml:space="preserve">că acest </w:t>
            </w:r>
            <w:r w:rsidR="0019189C">
              <w:rPr>
                <w:lang w:eastAsia="ro-RO"/>
              </w:rPr>
              <w:t xml:space="preserve">mecanism </w:t>
            </w:r>
            <w:r>
              <w:rPr>
                <w:lang w:eastAsia="ro-RO"/>
              </w:rPr>
              <w:t>financiar</w:t>
            </w:r>
            <w:r w:rsidR="0019189C">
              <w:rPr>
                <w:lang w:eastAsia="ro-RO"/>
              </w:rPr>
              <w:t xml:space="preserve"> specific proiectului</w:t>
            </w:r>
            <w:r>
              <w:rPr>
                <w:lang w:eastAsia="ro-RO"/>
              </w:rPr>
              <w:t xml:space="preserve"> nu este reglementat de legislația națională, în vigoare și pentru ca </w:t>
            </w:r>
            <w:r w:rsidR="0019189C" w:rsidRPr="0019189C">
              <w:rPr>
                <w:lang w:eastAsia="ro-RO"/>
              </w:rPr>
              <w:t>Ministerul Muncii și Protecției Sociale</w:t>
            </w:r>
            <w:r>
              <w:rPr>
                <w:lang w:eastAsia="ro-RO"/>
              </w:rPr>
              <w:t xml:space="preserve"> să poată îndeplini obligațiile aferente cererii de finanțare și implicit  contractul de finanțare, se impune reglementarea acestuia. </w:t>
            </w:r>
          </w:p>
        </w:tc>
      </w:tr>
      <w:tr w:rsidR="009F22AF" w:rsidRPr="00520BE3" w14:paraId="63A0FC7D" w14:textId="77777777" w:rsidTr="0025682E">
        <w:tc>
          <w:tcPr>
            <w:tcW w:w="3757" w:type="dxa"/>
          </w:tcPr>
          <w:p w14:paraId="4DA13CEC" w14:textId="5C01FE2D" w:rsidR="009F22AF" w:rsidRPr="00520BE3" w:rsidRDefault="009F22AF" w:rsidP="006A5A1B">
            <w:pPr>
              <w:jc w:val="both"/>
              <w:rPr>
                <w:lang w:eastAsia="ro-RO"/>
              </w:rPr>
            </w:pPr>
            <w:r w:rsidRPr="009F22AF">
              <w:rPr>
                <w:lang w:eastAsia="ro-RO"/>
              </w:rPr>
              <w:lastRenderedPageBreak/>
              <w:t>1</w:t>
            </w:r>
            <w:r>
              <w:rPr>
                <w:vertAlign w:val="superscript"/>
                <w:lang w:eastAsia="ro-RO"/>
              </w:rPr>
              <w:t>1</w:t>
            </w:r>
            <w:r w:rsidRPr="009F22AF">
              <w:rPr>
                <w:lang w:eastAsia="ro-RO"/>
              </w:rPr>
              <w:t xml:space="preserve"> În cazul proiectelor de acte normative care transpun </w:t>
            </w:r>
            <w:proofErr w:type="spellStart"/>
            <w:r w:rsidRPr="009F22AF">
              <w:rPr>
                <w:lang w:eastAsia="ro-RO"/>
              </w:rPr>
              <w:t>legislaţie</w:t>
            </w:r>
            <w:proofErr w:type="spellEnd"/>
            <w:r w:rsidRPr="009F22AF">
              <w:rPr>
                <w:lang w:eastAsia="ro-RO"/>
              </w:rPr>
              <w:t xml:space="preserve"> comunitară sau creează cadrul pentru aplicarea directă a acesteia, se vor specifica doar actele comunitare în cauză, </w:t>
            </w:r>
            <w:proofErr w:type="spellStart"/>
            <w:r w:rsidRPr="009F22AF">
              <w:rPr>
                <w:lang w:eastAsia="ro-RO"/>
              </w:rPr>
              <w:t>însoţite</w:t>
            </w:r>
            <w:proofErr w:type="spellEnd"/>
            <w:r w:rsidRPr="009F22AF">
              <w:rPr>
                <w:lang w:eastAsia="ro-RO"/>
              </w:rPr>
              <w:t xml:space="preserve"> de elementele de identificare ale acestora.</w:t>
            </w:r>
            <w:r w:rsidRPr="009F22AF">
              <w:rPr>
                <w:lang w:eastAsia="ro-RO"/>
              </w:rPr>
              <w:tab/>
            </w:r>
          </w:p>
        </w:tc>
        <w:tc>
          <w:tcPr>
            <w:tcW w:w="6440" w:type="dxa"/>
          </w:tcPr>
          <w:p w14:paraId="3DAAFC61" w14:textId="1E3E1EB4" w:rsidR="009F22AF" w:rsidRPr="00520BE3" w:rsidRDefault="009F22AF" w:rsidP="00E85FC6">
            <w:pPr>
              <w:spacing w:before="120" w:after="120"/>
              <w:jc w:val="both"/>
            </w:pPr>
            <w:r w:rsidRPr="009F22AF">
              <w:t>Proiectul de act normativ nu se referă la acest subiect.</w:t>
            </w:r>
          </w:p>
        </w:tc>
      </w:tr>
      <w:tr w:rsidR="00520BE3" w:rsidRPr="00520BE3" w14:paraId="5E9CE6CD" w14:textId="77777777" w:rsidTr="0025682E">
        <w:tc>
          <w:tcPr>
            <w:tcW w:w="3757" w:type="dxa"/>
          </w:tcPr>
          <w:p w14:paraId="78E5EC29" w14:textId="77777777" w:rsidR="00670C79" w:rsidRPr="00520BE3" w:rsidRDefault="00670C79" w:rsidP="006A5A1B">
            <w:pPr>
              <w:jc w:val="both"/>
              <w:rPr>
                <w:lang w:eastAsia="ro-RO"/>
              </w:rPr>
            </w:pPr>
            <w:r w:rsidRPr="00520BE3">
              <w:rPr>
                <w:lang w:eastAsia="ro-RO"/>
              </w:rPr>
              <w:t>2.Schimbări preconizate</w:t>
            </w:r>
          </w:p>
        </w:tc>
        <w:tc>
          <w:tcPr>
            <w:tcW w:w="6440" w:type="dxa"/>
          </w:tcPr>
          <w:p w14:paraId="299889B3" w14:textId="33E7C7A7" w:rsidR="008E56F8" w:rsidRDefault="00D93260" w:rsidP="00E85FC6">
            <w:pPr>
              <w:spacing w:before="120" w:after="120"/>
              <w:jc w:val="both"/>
              <w:rPr>
                <w:lang w:eastAsia="ro-RO"/>
              </w:rPr>
            </w:pPr>
            <w:r w:rsidRPr="00520BE3">
              <w:t xml:space="preserve">Având în vedere </w:t>
            </w:r>
            <w:r w:rsidR="00E85FC6">
              <w:t>aprobarea OUG</w:t>
            </w:r>
            <w:r w:rsidR="00D4461C">
              <w:t xml:space="preserve"> nr.</w:t>
            </w:r>
            <w:r w:rsidR="00E85FC6">
              <w:t xml:space="preserve"> 88/2020 </w:t>
            </w:r>
            <w:r w:rsidR="00E85FC6" w:rsidRPr="00E85FC6">
              <w:rPr>
                <w:i/>
              </w:rPr>
              <w:t>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r w:rsidR="00E85FC6">
              <w:t xml:space="preserve">, </w:t>
            </w:r>
            <w:r w:rsidR="008E56F8">
              <w:t>se impune asigurarea mecanismului financiar necesar pregătirii documentațiilor tehnic</w:t>
            </w:r>
            <w:r w:rsidR="00C51826">
              <w:t>o</w:t>
            </w:r>
            <w:r w:rsidR="008E56F8">
              <w:t xml:space="preserve">-economice </w:t>
            </w:r>
            <w:r w:rsidR="00D73D1F">
              <w:t>aferente</w:t>
            </w:r>
            <w:r w:rsidR="008E56F8">
              <w:t xml:space="preserve"> </w:t>
            </w:r>
            <w:r w:rsidR="00D73D1F">
              <w:t xml:space="preserve">următoarei </w:t>
            </w:r>
            <w:r w:rsidR="008E56F8">
              <w:t xml:space="preserve">perioade de programare </w:t>
            </w:r>
            <w:r w:rsidR="00D73D1F">
              <w:t>pentru</w:t>
            </w:r>
            <w:r w:rsidR="008E56F8">
              <w:t xml:space="preserve"> proiectel</w:t>
            </w:r>
            <w:r w:rsidR="00D73D1F">
              <w:t>e</w:t>
            </w:r>
            <w:r w:rsidR="008E56F8">
              <w:t xml:space="preserve"> de infrastructură de transport cu implicarea unităților administrativ-teritoriale și a asociațiilor de dezvoltare intercomunitară</w:t>
            </w:r>
            <w:r w:rsidR="00C51826">
              <w:t xml:space="preserve"> / asocierilor dintre acestea</w:t>
            </w:r>
            <w:r w:rsidR="008E56F8">
              <w:t xml:space="preserve">. </w:t>
            </w:r>
            <w:r w:rsidR="00787457">
              <w:t xml:space="preserve">Astfel, </w:t>
            </w:r>
            <w:r w:rsidR="00787457" w:rsidRPr="00520BE3">
              <w:t xml:space="preserve">este necesară </w:t>
            </w:r>
            <w:r w:rsidR="00787457" w:rsidRPr="00520BE3">
              <w:rPr>
                <w:lang w:eastAsia="ro-RO"/>
              </w:rPr>
              <w:t xml:space="preserve">modificarea, în regim de urgență, </w:t>
            </w:r>
            <w:r w:rsidR="00E61936">
              <w:rPr>
                <w:lang w:eastAsia="ro-RO"/>
              </w:rPr>
              <w:t xml:space="preserve">a </w:t>
            </w:r>
            <w:r w:rsidR="00E61936" w:rsidRPr="00520BE3">
              <w:rPr>
                <w:lang w:eastAsia="ro-RO"/>
              </w:rPr>
              <w:t xml:space="preserve">art. 6 alin. (2) din OUG nr. 40/2015, </w:t>
            </w:r>
            <w:r w:rsidR="00E61936" w:rsidRPr="00520BE3">
              <w:rPr>
                <w:rFonts w:eastAsiaTheme="minorHAnsi"/>
                <w:iCs/>
              </w:rPr>
              <w:t>aprobată cu modificări și completări prin Legea nr. 105/2016,</w:t>
            </w:r>
            <w:r w:rsidR="00E61936" w:rsidRPr="00520BE3">
              <w:rPr>
                <w:lang w:eastAsia="ro-RO"/>
              </w:rPr>
              <w:t xml:space="preserve"> cu modificările și completările ulterioare</w:t>
            </w:r>
            <w:r w:rsidR="00E61936">
              <w:rPr>
                <w:lang w:eastAsia="ro-RO"/>
              </w:rPr>
              <w:t>,</w:t>
            </w:r>
            <w:r w:rsidR="00E61936" w:rsidRPr="00520BE3">
              <w:rPr>
                <w:lang w:eastAsia="ro-RO"/>
              </w:rPr>
              <w:t xml:space="preserve"> </w:t>
            </w:r>
            <w:r w:rsidR="00787457" w:rsidRPr="00520BE3">
              <w:rPr>
                <w:lang w:eastAsia="ro-RO"/>
              </w:rPr>
              <w:t xml:space="preserve">în scopul </w:t>
            </w:r>
            <w:r w:rsidR="00267571">
              <w:rPr>
                <w:lang w:eastAsia="ro-RO"/>
              </w:rPr>
              <w:t>derulării prin</w:t>
            </w:r>
            <w:r w:rsidR="00787457" w:rsidRPr="00520BE3">
              <w:rPr>
                <w:lang w:eastAsia="ro-RO"/>
              </w:rPr>
              <w:t xml:space="preserve"> bugetul </w:t>
            </w:r>
            <w:r w:rsidR="00787457" w:rsidRPr="00520BE3">
              <w:t xml:space="preserve">Ministerului Transporturilor, Infrastructurii şi </w:t>
            </w:r>
            <w:r w:rsidR="00267571" w:rsidRPr="00520BE3">
              <w:t>Comunicațiilor</w:t>
            </w:r>
            <w:r w:rsidR="00267571">
              <w:t xml:space="preserve"> </w:t>
            </w:r>
            <w:r w:rsidR="00267571">
              <w:rPr>
                <w:lang w:eastAsia="ro-RO"/>
              </w:rPr>
              <w:t>a</w:t>
            </w:r>
            <w:r w:rsidR="00787457" w:rsidRPr="00520BE3">
              <w:rPr>
                <w:lang w:eastAsia="ro-RO"/>
              </w:rPr>
              <w:t xml:space="preserve"> proiectelor </w:t>
            </w:r>
            <w:r w:rsidR="00267571">
              <w:rPr>
                <w:lang w:eastAsia="ro-RO"/>
              </w:rPr>
              <w:t xml:space="preserve">din domeniul transporturilor finanțate prin POIM și </w:t>
            </w:r>
            <w:r w:rsidR="00787457" w:rsidRPr="00520BE3">
              <w:rPr>
                <w:lang w:eastAsia="ro-RO"/>
              </w:rPr>
              <w:t xml:space="preserve">derulate </w:t>
            </w:r>
            <w:r w:rsidR="000C4A4F">
              <w:rPr>
                <w:lang w:eastAsia="ro-RO"/>
              </w:rPr>
              <w:t xml:space="preserve">de </w:t>
            </w:r>
            <w:r w:rsidR="00787457" w:rsidRPr="00520BE3">
              <w:t xml:space="preserve">unitățile </w:t>
            </w:r>
            <w:r w:rsidR="00905E05">
              <w:t xml:space="preserve">administrativ </w:t>
            </w:r>
            <w:r w:rsidR="00787457" w:rsidRPr="00520BE3">
              <w:t>teritoriale/ asociațiile de dezvoltare intercomunitară</w:t>
            </w:r>
            <w:r w:rsidR="00905E05">
              <w:t>/ asocierile dintre acestea</w:t>
            </w:r>
            <w:r w:rsidR="00D4461C">
              <w:t>,</w:t>
            </w:r>
            <w:r w:rsidR="00905E05">
              <w:t xml:space="preserve"> precum și de </w:t>
            </w:r>
            <w:r w:rsidR="00905E05" w:rsidRPr="00D61D54">
              <w:t>Compania Naţional</w:t>
            </w:r>
            <w:r w:rsidR="00905E05">
              <w:t xml:space="preserve">ă de Investiţii "C.N.I." - S.A. </w:t>
            </w:r>
            <w:r w:rsidR="00787457" w:rsidRPr="00520BE3">
              <w:rPr>
                <w:lang w:eastAsia="ro-RO"/>
              </w:rPr>
              <w:t>pentru a evita blocajele în pregătirea următoarei perioade de programare.</w:t>
            </w:r>
            <w:r w:rsidR="00A97519">
              <w:rPr>
                <w:lang w:eastAsia="ro-RO"/>
              </w:rPr>
              <w:t xml:space="preserve"> </w:t>
            </w:r>
          </w:p>
          <w:p w14:paraId="6CDB9E3E" w14:textId="337E9FE8" w:rsidR="004E13AF" w:rsidRDefault="004E13AF" w:rsidP="00E85FC6">
            <w:pPr>
              <w:spacing w:before="120" w:after="120"/>
              <w:jc w:val="both"/>
              <w:rPr>
                <w:lang w:eastAsia="ro-RO"/>
              </w:rPr>
            </w:pPr>
            <w:r>
              <w:rPr>
                <w:lang w:eastAsia="ro-RO"/>
              </w:rPr>
              <w:t xml:space="preserve">Prin Ordonanța de </w:t>
            </w:r>
            <w:r w:rsidR="006964C3">
              <w:rPr>
                <w:lang w:eastAsia="ro-RO"/>
              </w:rPr>
              <w:t>u</w:t>
            </w:r>
            <w:r>
              <w:rPr>
                <w:lang w:eastAsia="ro-RO"/>
              </w:rPr>
              <w:t>rgență a Guvernului nr. 95/2020 au fost reglementate unele măsuri</w:t>
            </w:r>
            <w:r w:rsidRPr="004E13AF">
              <w:rPr>
                <w:lang w:eastAsia="ro-RO"/>
              </w:rPr>
              <w:t xml:space="preserve"> pentru implementarea proiectelor cu finanțare din fonduri europene în vederea evitării riscului anual de dezangajare</w:t>
            </w:r>
            <w:r>
              <w:rPr>
                <w:lang w:eastAsia="ro-RO"/>
              </w:rPr>
              <w:t xml:space="preserve">, respectiv </w:t>
            </w:r>
            <w:r w:rsidRPr="004E13AF">
              <w:rPr>
                <w:lang w:eastAsia="ro-RO"/>
              </w:rPr>
              <w:t>C.N.I. poate realiza, în calitate de beneficiar, individual sau în parteneriat, proiecte finanțate din fonduri externe nerambursabile, în conformitate cu condițiile stabilite în documentele de implementare ale programelor operaționale</w:t>
            </w:r>
            <w:r>
              <w:rPr>
                <w:lang w:eastAsia="ro-RO"/>
              </w:rPr>
              <w:t>, respectiv cu finanțare prin POIM pentru proiectele din domeniul transporturilor, astfel că este necesară stabilirea cadrului legal în vederea derulării prin</w:t>
            </w:r>
            <w:r w:rsidRPr="00520BE3">
              <w:rPr>
                <w:lang w:eastAsia="ro-RO"/>
              </w:rPr>
              <w:t xml:space="preserve"> bugetul </w:t>
            </w:r>
            <w:r w:rsidRPr="00520BE3">
              <w:t>Ministerului Transporturilor, Infrastructurii şi Comunicațiilor</w:t>
            </w:r>
            <w:r>
              <w:t xml:space="preserve"> a fluxurilor financiare.</w:t>
            </w:r>
          </w:p>
          <w:p w14:paraId="34CD42FF" w14:textId="415198F7" w:rsidR="00024F37" w:rsidRPr="00520BE3" w:rsidRDefault="00024F37" w:rsidP="00024F37">
            <w:pPr>
              <w:jc w:val="both"/>
            </w:pPr>
            <w:r w:rsidRPr="00520BE3">
              <w:rPr>
                <w:lang w:eastAsia="ro-RO"/>
              </w:rPr>
              <w:t xml:space="preserve">Pentru facilitarea aprobării și implementării în regim de urgență a proiectelor ce vizează dotarea unităților sanitare publice în care </w:t>
            </w:r>
            <w:r w:rsidRPr="00520BE3">
              <w:rPr>
                <w:lang w:eastAsia="ro-RO"/>
              </w:rPr>
              <w:lastRenderedPageBreak/>
              <w:t xml:space="preserve">sunt tratate cazurile de infecție cu </w:t>
            </w:r>
            <w:proofErr w:type="spellStart"/>
            <w:r w:rsidR="00821A2E">
              <w:rPr>
                <w:lang w:eastAsia="ro-RO"/>
              </w:rPr>
              <w:t>corona</w:t>
            </w:r>
            <w:r w:rsidRPr="00520BE3">
              <w:rPr>
                <w:lang w:eastAsia="ro-RO"/>
              </w:rPr>
              <w:t>virusul</w:t>
            </w:r>
            <w:proofErr w:type="spellEnd"/>
            <w:r w:rsidRPr="00520BE3">
              <w:rPr>
                <w:lang w:eastAsia="ro-RO"/>
              </w:rPr>
              <w:t xml:space="preserve"> COVID-19, se reglementează utilizarea mecanismului cererilor de plată de către beneficiari</w:t>
            </w:r>
            <w:r w:rsidR="00821A2E">
              <w:rPr>
                <w:lang w:eastAsia="ro-RO"/>
              </w:rPr>
              <w:t>i</w:t>
            </w:r>
            <w:r w:rsidRPr="00520BE3">
              <w:rPr>
                <w:lang w:eastAsia="ro-RO"/>
              </w:rPr>
              <w:t xml:space="preserve"> care sunt </w:t>
            </w:r>
            <w:r w:rsidR="00821A2E" w:rsidRPr="00520BE3">
              <w:rPr>
                <w:lang w:eastAsia="ro-RO"/>
              </w:rPr>
              <w:t>finanțați</w:t>
            </w:r>
            <w:r w:rsidRPr="00520BE3">
              <w:rPr>
                <w:lang w:eastAsia="ro-RO"/>
              </w:rPr>
              <w:t xml:space="preserve"> integral din bugetul de stat, bugetul asigurărilor sociale de stat sau bugetele fondurilor speciale pentru proiectele ce vizează dotarea unităților sanitare publice în care sunt tratate cazurile de infecție cu virusul COVID-19. Mecanismul cererilor de plată va fi utilizat de acești beneficiari până </w:t>
            </w:r>
            <w:r w:rsidRPr="00520BE3">
              <w:t>la cuprinderea în buget a creditelor de angajament şi creditelor bugetare aferente valorii totale a proiectelor proprii finanţate din fonduri europene.</w:t>
            </w:r>
          </w:p>
          <w:p w14:paraId="418FFFFC" w14:textId="6D2E99CB" w:rsidR="00024F37" w:rsidRPr="00520BE3" w:rsidRDefault="00024F37" w:rsidP="00024F37">
            <w:pPr>
              <w:spacing w:before="120" w:after="120"/>
              <w:jc w:val="both"/>
              <w:rPr>
                <w:lang w:eastAsia="ro-RO"/>
              </w:rPr>
            </w:pPr>
            <w:r w:rsidRPr="00520BE3">
              <w:rPr>
                <w:lang w:eastAsia="ro-RO"/>
              </w:rPr>
              <w:t xml:space="preserve">Neadoptarea unor măsuri urgente, cu caracter excepțional, în sprijinul beneficiarilor ce depun proiecte în cadrul </w:t>
            </w:r>
            <w:r w:rsidR="00821A2E">
              <w:rPr>
                <w:lang w:eastAsia="ro-RO"/>
              </w:rPr>
              <w:t>POIM</w:t>
            </w:r>
            <w:r w:rsidRPr="00520BE3">
              <w:rPr>
                <w:lang w:eastAsia="ro-RO"/>
              </w:rPr>
              <w:t xml:space="preserve"> pentru dotarea unităților sanitare publice în care sunt tratate cazurile de infecție cu </w:t>
            </w:r>
            <w:proofErr w:type="spellStart"/>
            <w:r w:rsidR="00821A2E">
              <w:rPr>
                <w:lang w:eastAsia="ro-RO"/>
              </w:rPr>
              <w:t>corona</w:t>
            </w:r>
            <w:r w:rsidRPr="00520BE3">
              <w:rPr>
                <w:lang w:eastAsia="ro-RO"/>
              </w:rPr>
              <w:t>virusul</w:t>
            </w:r>
            <w:proofErr w:type="spellEnd"/>
            <w:r w:rsidRPr="00520BE3">
              <w:rPr>
                <w:lang w:eastAsia="ro-RO"/>
              </w:rPr>
              <w:t xml:space="preserve"> COVID-19 ar aduce grave prejudicii, cu efecte pe termen lung asupra proiectelor aflate în pregătire sau în implementare</w:t>
            </w:r>
            <w:r w:rsidR="007F7226">
              <w:rPr>
                <w:lang w:eastAsia="ro-RO"/>
              </w:rPr>
              <w:t>, cu efecte directe asupra personalului care ar trebui să beneficieze de echipamentele/dotările care trebuie achiziționate, consecințele neluării măsurilor necesare în regim de urgență urmând a se răsfrânge și asupra pacienților</w:t>
            </w:r>
            <w:r w:rsidR="004B1759">
              <w:rPr>
                <w:lang w:eastAsia="ro-RO"/>
              </w:rPr>
              <w:t xml:space="preserve"> care apelează la serviciile unităților sanitare</w:t>
            </w:r>
            <w:r w:rsidRPr="00520BE3">
              <w:rPr>
                <w:lang w:eastAsia="ro-RO"/>
              </w:rPr>
              <w:t xml:space="preserve">. </w:t>
            </w:r>
          </w:p>
          <w:p w14:paraId="683335A7" w14:textId="77777777" w:rsidR="008041B9" w:rsidRDefault="00024F37" w:rsidP="00787457">
            <w:pPr>
              <w:spacing w:before="120" w:after="120"/>
              <w:jc w:val="both"/>
              <w:rPr>
                <w:lang w:eastAsia="ro-RO"/>
              </w:rPr>
            </w:pPr>
            <w:r w:rsidRPr="00520BE3">
              <w:rPr>
                <w:lang w:eastAsia="ro-RO"/>
              </w:rPr>
              <w:t>Împrejurările de față vizează interesul public și constituie elementele unei situații extraordinare ce nu suferă amânare, astfel încât se impune reglementarea unor măsuri</w:t>
            </w:r>
            <w:r w:rsidR="006964C3">
              <w:rPr>
                <w:lang w:eastAsia="ro-RO"/>
              </w:rPr>
              <w:t xml:space="preserve"> în regim de urgență</w:t>
            </w:r>
            <w:r w:rsidRPr="00520BE3">
              <w:rPr>
                <w:lang w:eastAsia="ro-RO"/>
              </w:rPr>
              <w:t xml:space="preserve"> în domeniul fondurilor europene pentru proiectele ce vizează dotarea unităților sanitare publice în care sunt tratate cazurile de infecție cu virusul COVID-19.</w:t>
            </w:r>
          </w:p>
          <w:p w14:paraId="4EB05AEC" w14:textId="3CC44DFC" w:rsidR="00635197" w:rsidRPr="00520BE3" w:rsidRDefault="00090676" w:rsidP="00090676">
            <w:pPr>
              <w:jc w:val="both"/>
              <w:rPr>
                <w:lang w:eastAsia="ro-RO"/>
              </w:rPr>
            </w:pPr>
            <w:r>
              <w:t xml:space="preserve">Având în vedere adresa </w:t>
            </w:r>
            <w:r w:rsidRPr="005704EC">
              <w:rPr>
                <w:lang w:eastAsia="ro-RO"/>
              </w:rPr>
              <w:t>M</w:t>
            </w:r>
            <w:r>
              <w:rPr>
                <w:lang w:eastAsia="ro-RO"/>
              </w:rPr>
              <w:t xml:space="preserve">inisterul </w:t>
            </w:r>
            <w:r w:rsidRPr="005704EC">
              <w:rPr>
                <w:lang w:eastAsia="ro-RO"/>
              </w:rPr>
              <w:t>M</w:t>
            </w:r>
            <w:r>
              <w:rPr>
                <w:lang w:eastAsia="ro-RO"/>
              </w:rPr>
              <w:t xml:space="preserve">uncii și </w:t>
            </w:r>
            <w:r w:rsidRPr="005704EC">
              <w:rPr>
                <w:lang w:eastAsia="ro-RO"/>
              </w:rPr>
              <w:t>P</w:t>
            </w:r>
            <w:r>
              <w:rPr>
                <w:lang w:eastAsia="ro-RO"/>
              </w:rPr>
              <w:t xml:space="preserve">rotecției </w:t>
            </w:r>
            <w:r w:rsidRPr="005704EC">
              <w:rPr>
                <w:lang w:eastAsia="ro-RO"/>
              </w:rPr>
              <w:t>S</w:t>
            </w:r>
            <w:r>
              <w:rPr>
                <w:lang w:eastAsia="ro-RO"/>
              </w:rPr>
              <w:t xml:space="preserve">ociale nr. 4102/07.07.2020 (anexată) prin care </w:t>
            </w:r>
            <w:r>
              <w:t>propune</w:t>
            </w:r>
            <w:r w:rsidR="00635197" w:rsidRPr="00635197">
              <w:t xml:space="preserve"> reglementarea</w:t>
            </w:r>
            <w:r w:rsidR="00F0098C">
              <w:t>, în regim de urgență, a</w:t>
            </w:r>
            <w:r w:rsidR="00635197" w:rsidRPr="00635197">
              <w:t xml:space="preserve"> </w:t>
            </w:r>
            <w:r w:rsidR="00635197">
              <w:t>circuitului financiar</w:t>
            </w:r>
            <w:r w:rsidR="003543EA">
              <w:t xml:space="preserve"> specific proiectului </w:t>
            </w:r>
            <w:r w:rsidR="00635197" w:rsidRPr="00635197">
              <w:t xml:space="preserve"> </w:t>
            </w:r>
            <w:r w:rsidR="003543EA" w:rsidRPr="007D383B">
              <w:rPr>
                <w:lang w:eastAsia="ro-RO"/>
              </w:rPr>
              <w:t>“Sprijin pentru persoanele vulnerabile în contextul epidemiei COVID-19”</w:t>
            </w:r>
            <w:r w:rsidR="003543EA">
              <w:rPr>
                <w:lang w:eastAsia="ro-RO"/>
              </w:rPr>
              <w:t xml:space="preserve">, </w:t>
            </w:r>
            <w:r w:rsidR="00635197">
              <w:rPr>
                <w:lang w:eastAsia="ro-RO"/>
              </w:rPr>
              <w:t xml:space="preserve">pentru ca MMPS să poată îndeplini obligațiile aferente cererii de finanțare și implicit a contractului de finanțare, </w:t>
            </w:r>
            <w:r>
              <w:rPr>
                <w:lang w:eastAsia="ro-RO"/>
              </w:rPr>
              <w:t xml:space="preserve">se propune </w:t>
            </w:r>
            <w:r w:rsidR="00635197">
              <w:rPr>
                <w:lang w:eastAsia="ro-RO"/>
              </w:rPr>
              <w:t xml:space="preserve">completarea </w:t>
            </w:r>
            <w:r w:rsidR="00043471" w:rsidRPr="004F3AB8">
              <w:t>Ordonanț</w:t>
            </w:r>
            <w:r>
              <w:t>ei</w:t>
            </w:r>
            <w:r w:rsidR="00043471" w:rsidRPr="004F3AB8">
              <w:t xml:space="preserve"> de urgență a Guvernului nr. 52/2020 </w:t>
            </w:r>
            <w:r w:rsidR="00043471" w:rsidRPr="00043471">
              <w:rPr>
                <w:i/>
              </w:rPr>
              <w:t>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r w:rsidR="00043471" w:rsidRPr="004F3AB8">
              <w:t xml:space="preserve">, </w:t>
            </w:r>
            <w:r w:rsidR="00635197">
              <w:t xml:space="preserve"> </w:t>
            </w:r>
            <w:r w:rsidR="00635197">
              <w:rPr>
                <w:lang w:eastAsia="ro-RO"/>
              </w:rPr>
              <w:t xml:space="preserve">cu </w:t>
            </w:r>
            <w:r w:rsidR="00043471">
              <w:rPr>
                <w:lang w:eastAsia="ro-RO"/>
              </w:rPr>
              <w:t>articolul VIII</w:t>
            </w:r>
            <w:r w:rsidR="00043471" w:rsidRPr="00043471">
              <w:rPr>
                <w:vertAlign w:val="superscript"/>
                <w:lang w:eastAsia="ro-RO"/>
              </w:rPr>
              <w:t>1</w:t>
            </w:r>
            <w:r>
              <w:t xml:space="preserve">, actul normativ propus a fi modificat fiind cel relevant pentru </w:t>
            </w:r>
            <w:r w:rsidRPr="00090676">
              <w:t>adoptarea unor măsuri privind beneficiarii de fonduri europene în contextul răspândirii COVID-19</w:t>
            </w:r>
            <w:r>
              <w:t xml:space="preserve"> și care corespunde într-un mod adecvat scopului propunerii de reglementare.</w:t>
            </w:r>
          </w:p>
        </w:tc>
      </w:tr>
      <w:tr w:rsidR="006449AD" w:rsidRPr="00520BE3" w14:paraId="4F0A040E" w14:textId="77777777" w:rsidTr="0025682E">
        <w:trPr>
          <w:trHeight w:val="952"/>
        </w:trPr>
        <w:tc>
          <w:tcPr>
            <w:tcW w:w="3757" w:type="dxa"/>
          </w:tcPr>
          <w:p w14:paraId="444F22DC" w14:textId="083A927F" w:rsidR="00670C79" w:rsidRPr="00520BE3" w:rsidRDefault="00670C79" w:rsidP="006A5A1B">
            <w:pPr>
              <w:jc w:val="both"/>
            </w:pPr>
            <w:r w:rsidRPr="00520BE3">
              <w:lastRenderedPageBreak/>
              <w:t xml:space="preserve">3.Alte </w:t>
            </w:r>
            <w:proofErr w:type="spellStart"/>
            <w:r w:rsidRPr="00520BE3">
              <w:t>informaţii</w:t>
            </w:r>
            <w:proofErr w:type="spellEnd"/>
          </w:p>
        </w:tc>
        <w:tc>
          <w:tcPr>
            <w:tcW w:w="6440" w:type="dxa"/>
          </w:tcPr>
          <w:p w14:paraId="33DA0BF8" w14:textId="728F5DFF" w:rsidR="0025682E" w:rsidRPr="00520BE3" w:rsidRDefault="00670C79" w:rsidP="00105808">
            <w:pPr>
              <w:widowControl w:val="0"/>
              <w:autoSpaceDE w:val="0"/>
              <w:autoSpaceDN w:val="0"/>
              <w:adjustRightInd w:val="0"/>
              <w:spacing w:before="120" w:after="120"/>
              <w:jc w:val="both"/>
            </w:pPr>
            <w:r w:rsidRPr="00520BE3">
              <w:rPr>
                <w:lang w:eastAsia="ro-RO"/>
              </w:rPr>
              <w:t xml:space="preserve">Amânarea </w:t>
            </w:r>
            <w:r w:rsidR="002E3AFC" w:rsidRPr="00520BE3">
              <w:rPr>
                <w:lang w:eastAsia="ro-RO"/>
              </w:rPr>
              <w:t>adoptării măsurilor propuse ar aduce grave prejudicii, cu efecte pe termen lung asupra proiectelor aflate în pregătire sau în implementare</w:t>
            </w:r>
            <w:r w:rsidRPr="00520BE3">
              <w:rPr>
                <w:iCs/>
                <w:lang w:eastAsia="ro-RO"/>
              </w:rPr>
              <w:t>.</w:t>
            </w:r>
          </w:p>
        </w:tc>
      </w:tr>
    </w:tbl>
    <w:p w14:paraId="4D5B7333" w14:textId="77777777" w:rsidR="001F733F" w:rsidRPr="00520BE3" w:rsidRDefault="001F733F" w:rsidP="00670C79">
      <w:pPr>
        <w:spacing w:before="120" w:after="120"/>
        <w:ind w:left="357"/>
        <w:rPr>
          <w:b/>
        </w:rPr>
      </w:pPr>
    </w:p>
    <w:p w14:paraId="4E4A7A8E" w14:textId="77777777" w:rsidR="00670C79" w:rsidRPr="00520BE3" w:rsidRDefault="00670C79" w:rsidP="00670C79">
      <w:pPr>
        <w:spacing w:before="120" w:after="120"/>
        <w:ind w:left="357"/>
        <w:rPr>
          <w:b/>
        </w:rPr>
      </w:pPr>
      <w:proofErr w:type="spellStart"/>
      <w:r w:rsidRPr="00520BE3">
        <w:rPr>
          <w:b/>
        </w:rPr>
        <w:lastRenderedPageBreak/>
        <w:t>Secţiunea</w:t>
      </w:r>
      <w:proofErr w:type="spellEnd"/>
      <w:r w:rsidRPr="00520BE3">
        <w:rPr>
          <w:b/>
        </w:rPr>
        <w:t xml:space="preserve"> a 3-a - Impactul </w:t>
      </w:r>
      <w:proofErr w:type="spellStart"/>
      <w:r w:rsidRPr="00520BE3">
        <w:rPr>
          <w:b/>
        </w:rPr>
        <w:t>socio</w:t>
      </w:r>
      <w:proofErr w:type="spellEnd"/>
      <w:r w:rsidRPr="00520BE3">
        <w:rPr>
          <w:b/>
        </w:rPr>
        <w:t>-economic al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520BE3" w:rsidRPr="00520BE3" w14:paraId="4F7B7B5A" w14:textId="77777777" w:rsidTr="006A5A1B">
        <w:tc>
          <w:tcPr>
            <w:tcW w:w="2684" w:type="dxa"/>
          </w:tcPr>
          <w:p w14:paraId="1A4C81E4" w14:textId="63864073" w:rsidR="00670C79" w:rsidRPr="00520BE3" w:rsidRDefault="00670C79" w:rsidP="006A5A1B">
            <w:r w:rsidRPr="00520BE3">
              <w:t>1. Impactul macro</w:t>
            </w:r>
            <w:r w:rsidR="009F22AF">
              <w:t xml:space="preserve">- </w:t>
            </w:r>
            <w:r w:rsidRPr="00520BE3">
              <w:t>economic</w:t>
            </w:r>
          </w:p>
        </w:tc>
        <w:tc>
          <w:tcPr>
            <w:tcW w:w="7556" w:type="dxa"/>
            <w:vAlign w:val="center"/>
          </w:tcPr>
          <w:p w14:paraId="32640339" w14:textId="77777777" w:rsidR="00670C79" w:rsidRPr="00520BE3" w:rsidRDefault="00670C79" w:rsidP="006A5A1B">
            <w:r w:rsidRPr="00520BE3">
              <w:t>Proiectul de act normativ nu se referă la acest subiect.</w:t>
            </w:r>
          </w:p>
          <w:p w14:paraId="041FB550" w14:textId="77777777" w:rsidR="0025682E" w:rsidRPr="00520BE3" w:rsidRDefault="0025682E" w:rsidP="006A5A1B"/>
        </w:tc>
      </w:tr>
      <w:tr w:rsidR="00520BE3" w:rsidRPr="00520BE3" w14:paraId="11154DDC" w14:textId="77777777" w:rsidTr="006A5A1B">
        <w:tc>
          <w:tcPr>
            <w:tcW w:w="2684" w:type="dxa"/>
          </w:tcPr>
          <w:p w14:paraId="4F381BDD" w14:textId="77777777" w:rsidR="00670C79" w:rsidRPr="00520BE3" w:rsidRDefault="00670C79" w:rsidP="00085904">
            <w:pPr>
              <w:jc w:val="both"/>
            </w:pPr>
            <w:r w:rsidRPr="00520BE3">
              <w:t>1</w:t>
            </w:r>
            <w:r w:rsidRPr="00520BE3">
              <w:rPr>
                <w:vertAlign w:val="superscript"/>
              </w:rPr>
              <w:t>1</w:t>
            </w:r>
            <w:r w:rsidRPr="00520BE3">
              <w:t xml:space="preserve">. Impactul asupra mediului </w:t>
            </w:r>
            <w:proofErr w:type="spellStart"/>
            <w:r w:rsidRPr="00520BE3">
              <w:t>concurenţial</w:t>
            </w:r>
            <w:proofErr w:type="spellEnd"/>
            <w:r w:rsidRPr="00520BE3">
              <w:t xml:space="preserve"> şi domeniului ajutoarelor de stat</w:t>
            </w:r>
          </w:p>
        </w:tc>
        <w:tc>
          <w:tcPr>
            <w:tcW w:w="7556" w:type="dxa"/>
            <w:vAlign w:val="center"/>
          </w:tcPr>
          <w:p w14:paraId="3691C3E7" w14:textId="77777777" w:rsidR="00670C79" w:rsidRPr="00520BE3" w:rsidRDefault="00670C79" w:rsidP="006A5A1B">
            <w:pPr>
              <w:spacing w:line="360" w:lineRule="auto"/>
              <w:jc w:val="both"/>
            </w:pPr>
            <w:r w:rsidRPr="00520BE3">
              <w:t>Proiectul de act normativ nu se referă la acest subiect.</w:t>
            </w:r>
          </w:p>
        </w:tc>
      </w:tr>
      <w:tr w:rsidR="00520BE3" w:rsidRPr="00520BE3" w14:paraId="2B719308" w14:textId="77777777" w:rsidTr="006A5A1B">
        <w:tc>
          <w:tcPr>
            <w:tcW w:w="2684" w:type="dxa"/>
          </w:tcPr>
          <w:p w14:paraId="7958BBB2" w14:textId="77777777" w:rsidR="00670C79" w:rsidRPr="00520BE3" w:rsidRDefault="00670C79" w:rsidP="006A5A1B">
            <w:r w:rsidRPr="00520BE3">
              <w:t>2. Impact asupra mediului de afaceri</w:t>
            </w:r>
          </w:p>
        </w:tc>
        <w:tc>
          <w:tcPr>
            <w:tcW w:w="7556" w:type="dxa"/>
            <w:vAlign w:val="center"/>
          </w:tcPr>
          <w:p w14:paraId="41DC7255" w14:textId="77777777" w:rsidR="00670C79" w:rsidRPr="00520BE3" w:rsidRDefault="00670C79" w:rsidP="006A5A1B">
            <w:pPr>
              <w:jc w:val="both"/>
            </w:pPr>
            <w:r w:rsidRPr="00520BE3">
              <w:t>Proiectul de act normativ nu se referă la acest subiect.</w:t>
            </w:r>
          </w:p>
          <w:p w14:paraId="5C25A681" w14:textId="77777777" w:rsidR="0025682E" w:rsidRPr="00520BE3" w:rsidRDefault="0025682E" w:rsidP="006A5A1B">
            <w:pPr>
              <w:jc w:val="both"/>
            </w:pPr>
          </w:p>
        </w:tc>
      </w:tr>
      <w:tr w:rsidR="00520BE3" w:rsidRPr="00520BE3" w14:paraId="6802A78A" w14:textId="77777777" w:rsidTr="006A5A1B">
        <w:tc>
          <w:tcPr>
            <w:tcW w:w="2684" w:type="dxa"/>
          </w:tcPr>
          <w:p w14:paraId="3F227086" w14:textId="77777777" w:rsidR="00670C79" w:rsidRPr="00520BE3" w:rsidRDefault="00670C79" w:rsidP="006A5A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0BE3">
              <w:rPr>
                <w:lang w:eastAsia="ro-RO"/>
              </w:rPr>
              <w:t>2^1. Impactul asupra sarcinilor administrative</w:t>
            </w:r>
          </w:p>
        </w:tc>
        <w:tc>
          <w:tcPr>
            <w:tcW w:w="7556" w:type="dxa"/>
            <w:vAlign w:val="center"/>
          </w:tcPr>
          <w:p w14:paraId="27439D9F" w14:textId="77777777" w:rsidR="00670C79" w:rsidRPr="00520BE3" w:rsidRDefault="00670C79" w:rsidP="006A5A1B">
            <w:pPr>
              <w:jc w:val="both"/>
            </w:pPr>
            <w:r w:rsidRPr="00520BE3">
              <w:t>Proiectul de act normativ nu se referă la acest subiect.</w:t>
            </w:r>
          </w:p>
        </w:tc>
      </w:tr>
      <w:tr w:rsidR="00520BE3" w:rsidRPr="00520BE3" w14:paraId="1EE623DB" w14:textId="77777777" w:rsidTr="006A5A1B">
        <w:tc>
          <w:tcPr>
            <w:tcW w:w="2684" w:type="dxa"/>
          </w:tcPr>
          <w:p w14:paraId="48E23D9D" w14:textId="77777777" w:rsidR="00670C79" w:rsidRPr="00520BE3" w:rsidRDefault="00670C79" w:rsidP="00085904">
            <w:pPr>
              <w:pStyle w:val="PreformatatHTML"/>
              <w:shd w:val="clear" w:color="auto" w:fill="FFFFFF"/>
              <w:jc w:val="both"/>
              <w:rPr>
                <w:rFonts w:ascii="Times New Roman" w:hAnsi="Times New Roman" w:cs="Times New Roman"/>
                <w:sz w:val="24"/>
                <w:szCs w:val="24"/>
              </w:rPr>
            </w:pPr>
            <w:r w:rsidRPr="00520BE3">
              <w:rPr>
                <w:rFonts w:ascii="Times New Roman" w:hAnsi="Times New Roman" w:cs="Times New Roman"/>
                <w:sz w:val="24"/>
                <w:szCs w:val="24"/>
              </w:rPr>
              <w:t>2^2. Impactul asupra întreprinderilor mici și mijlocii</w:t>
            </w:r>
          </w:p>
        </w:tc>
        <w:tc>
          <w:tcPr>
            <w:tcW w:w="7556" w:type="dxa"/>
            <w:vAlign w:val="center"/>
          </w:tcPr>
          <w:p w14:paraId="2A6279C4" w14:textId="77777777" w:rsidR="00670C79" w:rsidRPr="00520BE3" w:rsidRDefault="00670C79" w:rsidP="006A5A1B">
            <w:pPr>
              <w:jc w:val="both"/>
            </w:pPr>
            <w:r w:rsidRPr="00520BE3">
              <w:t>Proiectul de act normativ nu se referă la acest subiect.</w:t>
            </w:r>
          </w:p>
        </w:tc>
      </w:tr>
      <w:tr w:rsidR="00520BE3" w:rsidRPr="00520BE3" w14:paraId="4036C85E" w14:textId="77777777" w:rsidTr="006A5A1B">
        <w:tc>
          <w:tcPr>
            <w:tcW w:w="2684" w:type="dxa"/>
          </w:tcPr>
          <w:p w14:paraId="7DFA3F41" w14:textId="7C924AD5" w:rsidR="00670C79" w:rsidRPr="00520BE3" w:rsidRDefault="00670C79" w:rsidP="006A5A1B">
            <w:r w:rsidRPr="00520BE3">
              <w:t>3. Imp</w:t>
            </w:r>
            <w:r w:rsidR="009F22AF">
              <w:t>a</w:t>
            </w:r>
            <w:r w:rsidR="00AA59A0">
              <w:t>c</w:t>
            </w:r>
            <w:r w:rsidR="009F22AF">
              <w:t xml:space="preserve">tul </w:t>
            </w:r>
            <w:r w:rsidRPr="00520BE3">
              <w:t>social</w:t>
            </w:r>
          </w:p>
        </w:tc>
        <w:tc>
          <w:tcPr>
            <w:tcW w:w="7556" w:type="dxa"/>
            <w:vAlign w:val="center"/>
          </w:tcPr>
          <w:p w14:paraId="04599162" w14:textId="0C9307DA" w:rsidR="00670C79" w:rsidRPr="00520BE3" w:rsidRDefault="00670C79" w:rsidP="006A5A1B">
            <w:pPr>
              <w:jc w:val="both"/>
            </w:pPr>
            <w:r w:rsidRPr="00520BE3">
              <w:t xml:space="preserve">Proiectul de act normativ </w:t>
            </w:r>
            <w:r w:rsidR="006D07D6">
              <w:t xml:space="preserve">permite achiziția rapidă </w:t>
            </w:r>
            <w:r w:rsidR="00674E7A">
              <w:t xml:space="preserve">din fonduri europene </w:t>
            </w:r>
            <w:r w:rsidR="006D07D6">
              <w:t xml:space="preserve">de aparatură și echipamente necesare dotării spitalelor din România în contextul pandemiei cu COVID – 19 </w:t>
            </w:r>
            <w:r w:rsidR="00E52E82">
              <w:t>și pregătirea de proiecte în domeniul infrastructurii de transport care vor fi implementate în perioada de programare 2014-2020, cu sprijinul</w:t>
            </w:r>
            <w:r w:rsidR="00090676">
              <w:t xml:space="preserve"> CNI,</w:t>
            </w:r>
            <w:r w:rsidR="00E52E82">
              <w:t xml:space="preserve"> unităților</w:t>
            </w:r>
            <w:r w:rsidR="00E52E82" w:rsidRPr="00E52E82">
              <w:t xml:space="preserve"> admini</w:t>
            </w:r>
            <w:r w:rsidR="00E52E82">
              <w:t>strativ teritoriale/ asociațiilor</w:t>
            </w:r>
            <w:r w:rsidR="00E52E82" w:rsidRPr="00E52E82">
              <w:t xml:space="preserve"> de dezvol</w:t>
            </w:r>
            <w:r w:rsidR="00E52E82">
              <w:t>tare intercomunitară/ asocierilor</w:t>
            </w:r>
            <w:r w:rsidR="00E52E82" w:rsidRPr="00E52E82">
              <w:t xml:space="preserve"> dintre acestea</w:t>
            </w:r>
            <w:r w:rsidR="00090676">
              <w:t>, precum și pregăti</w:t>
            </w:r>
            <w:r w:rsidR="00EE79AE">
              <w:t>rea portofoliului de proiecte ce</w:t>
            </w:r>
            <w:r w:rsidR="00090676">
              <w:t xml:space="preserve"> urmează a se implementa în perioada de programare 2021-2020</w:t>
            </w:r>
            <w:r w:rsidR="00674E7A">
              <w:t>.</w:t>
            </w:r>
          </w:p>
          <w:p w14:paraId="7B2B1E4F" w14:textId="77777777" w:rsidR="00670C79" w:rsidRPr="00520BE3" w:rsidRDefault="00670C79" w:rsidP="006A5A1B">
            <w:pPr>
              <w:jc w:val="both"/>
            </w:pPr>
          </w:p>
        </w:tc>
      </w:tr>
      <w:tr w:rsidR="00520BE3" w:rsidRPr="00520BE3" w14:paraId="59D45322" w14:textId="77777777" w:rsidTr="006A5A1B">
        <w:tc>
          <w:tcPr>
            <w:tcW w:w="2684" w:type="dxa"/>
          </w:tcPr>
          <w:p w14:paraId="10B187CE" w14:textId="77777777" w:rsidR="00670C79" w:rsidRPr="00520BE3" w:rsidRDefault="00670C79" w:rsidP="006A5A1B">
            <w:r w:rsidRPr="00520BE3">
              <w:t>4. Impact asupra mediului</w:t>
            </w:r>
          </w:p>
        </w:tc>
        <w:tc>
          <w:tcPr>
            <w:tcW w:w="7556" w:type="dxa"/>
            <w:vAlign w:val="center"/>
          </w:tcPr>
          <w:p w14:paraId="05B3B285" w14:textId="77777777" w:rsidR="00670C79" w:rsidRPr="00520BE3" w:rsidRDefault="00670C79" w:rsidP="006A5A1B">
            <w:pPr>
              <w:jc w:val="both"/>
            </w:pPr>
            <w:r w:rsidRPr="00520BE3">
              <w:t>Proiectul de act normativ nu se referă la acest subiect.</w:t>
            </w:r>
          </w:p>
        </w:tc>
      </w:tr>
      <w:tr w:rsidR="006449AD" w:rsidRPr="00520BE3" w14:paraId="32110270" w14:textId="77777777" w:rsidTr="006A5A1B">
        <w:tc>
          <w:tcPr>
            <w:tcW w:w="2684" w:type="dxa"/>
          </w:tcPr>
          <w:p w14:paraId="41862FBF" w14:textId="77777777" w:rsidR="00670C79" w:rsidRPr="00520BE3" w:rsidRDefault="00670C79" w:rsidP="006A5A1B">
            <w:r w:rsidRPr="00520BE3">
              <w:t xml:space="preserve">5. Alte </w:t>
            </w:r>
            <w:proofErr w:type="spellStart"/>
            <w:r w:rsidRPr="00520BE3">
              <w:t>informaţii</w:t>
            </w:r>
            <w:proofErr w:type="spellEnd"/>
          </w:p>
        </w:tc>
        <w:tc>
          <w:tcPr>
            <w:tcW w:w="7556" w:type="dxa"/>
            <w:vAlign w:val="center"/>
          </w:tcPr>
          <w:p w14:paraId="53E2778B" w14:textId="77777777" w:rsidR="00670C79" w:rsidRPr="00520BE3" w:rsidRDefault="00670C79" w:rsidP="006A5A1B">
            <w:pPr>
              <w:spacing w:line="360" w:lineRule="auto"/>
              <w:jc w:val="both"/>
            </w:pPr>
            <w:r w:rsidRPr="00520BE3">
              <w:t>Nu au fost identificate.</w:t>
            </w:r>
          </w:p>
        </w:tc>
      </w:tr>
    </w:tbl>
    <w:p w14:paraId="40C7093F" w14:textId="77777777" w:rsidR="0025682E" w:rsidRPr="00520BE3" w:rsidRDefault="0025682E" w:rsidP="00670C79">
      <w:pPr>
        <w:ind w:left="180"/>
        <w:jc w:val="both"/>
        <w:rPr>
          <w:b/>
        </w:rPr>
      </w:pPr>
    </w:p>
    <w:p w14:paraId="34AED0C5" w14:textId="77777777" w:rsidR="00670C79" w:rsidRPr="00520BE3" w:rsidRDefault="00670C79" w:rsidP="00670C79">
      <w:pPr>
        <w:ind w:left="180"/>
        <w:jc w:val="both"/>
        <w:rPr>
          <w:b/>
        </w:rPr>
      </w:pPr>
      <w:proofErr w:type="spellStart"/>
      <w:r w:rsidRPr="00520BE3">
        <w:rPr>
          <w:b/>
        </w:rPr>
        <w:t>Secţiunea</w:t>
      </w:r>
      <w:proofErr w:type="spellEnd"/>
      <w:r w:rsidRPr="00520BE3">
        <w:rPr>
          <w:b/>
        </w:rPr>
        <w:t xml:space="preserve"> a 4-a. Impactul financiar asupra bugetului de stat consolidat, atât pe termen scurt, pentru anul curent, cât şi pe termen lung (pe 5 ani)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6"/>
        <w:gridCol w:w="1079"/>
        <w:gridCol w:w="898"/>
        <w:gridCol w:w="1077"/>
        <w:gridCol w:w="1077"/>
        <w:gridCol w:w="1256"/>
        <w:gridCol w:w="1977"/>
      </w:tblGrid>
      <w:tr w:rsidR="00520BE3" w:rsidRPr="00520BE3" w14:paraId="57D824B3" w14:textId="77777777" w:rsidTr="006A5A1B">
        <w:tc>
          <w:tcPr>
            <w:tcW w:w="2880" w:type="dxa"/>
          </w:tcPr>
          <w:p w14:paraId="318BEE35" w14:textId="77777777" w:rsidR="00670C79" w:rsidRPr="00520BE3" w:rsidRDefault="00670C79" w:rsidP="006A5A1B">
            <w:pPr>
              <w:pStyle w:val="Titlu2"/>
              <w:rPr>
                <w:sz w:val="24"/>
              </w:rPr>
            </w:pPr>
            <w:r w:rsidRPr="00520BE3">
              <w:rPr>
                <w:sz w:val="24"/>
              </w:rPr>
              <w:t>Indicatori</w:t>
            </w:r>
          </w:p>
        </w:tc>
        <w:tc>
          <w:tcPr>
            <w:tcW w:w="1080" w:type="dxa"/>
          </w:tcPr>
          <w:p w14:paraId="603E3C85" w14:textId="77777777" w:rsidR="00670C79" w:rsidRPr="00520BE3" w:rsidRDefault="00670C79" w:rsidP="006A5A1B">
            <w:pPr>
              <w:jc w:val="center"/>
            </w:pPr>
            <w:r w:rsidRPr="00520BE3">
              <w:t>An curent</w:t>
            </w:r>
          </w:p>
        </w:tc>
        <w:tc>
          <w:tcPr>
            <w:tcW w:w="4320" w:type="dxa"/>
            <w:gridSpan w:val="4"/>
          </w:tcPr>
          <w:p w14:paraId="4EA4AF47" w14:textId="77777777" w:rsidR="00670C79" w:rsidRPr="00520BE3" w:rsidRDefault="00670C79" w:rsidP="006A5A1B">
            <w:pPr>
              <w:jc w:val="center"/>
            </w:pPr>
            <w:r w:rsidRPr="00520BE3">
              <w:t>Următorii 4 ani</w:t>
            </w:r>
          </w:p>
        </w:tc>
        <w:tc>
          <w:tcPr>
            <w:tcW w:w="1980" w:type="dxa"/>
          </w:tcPr>
          <w:p w14:paraId="1EE52564" w14:textId="77777777" w:rsidR="00670C79" w:rsidRPr="00520BE3" w:rsidRDefault="00670C79" w:rsidP="006A5A1B">
            <w:pPr>
              <w:jc w:val="center"/>
            </w:pPr>
            <w:r w:rsidRPr="00520BE3">
              <w:t>Media următorilor 5 ani, după anul curent</w:t>
            </w:r>
          </w:p>
        </w:tc>
      </w:tr>
      <w:tr w:rsidR="00520BE3" w:rsidRPr="00520BE3" w14:paraId="31AEB740" w14:textId="77777777" w:rsidTr="006A5A1B">
        <w:tc>
          <w:tcPr>
            <w:tcW w:w="2880" w:type="dxa"/>
          </w:tcPr>
          <w:p w14:paraId="1A04C9C9" w14:textId="77777777" w:rsidR="00670C79" w:rsidRPr="00520BE3" w:rsidRDefault="00670C79" w:rsidP="006A5A1B">
            <w:pPr>
              <w:jc w:val="center"/>
            </w:pPr>
            <w:r w:rsidRPr="00520BE3">
              <w:t>1</w:t>
            </w:r>
          </w:p>
        </w:tc>
        <w:tc>
          <w:tcPr>
            <w:tcW w:w="1080" w:type="dxa"/>
            <w:vAlign w:val="center"/>
          </w:tcPr>
          <w:p w14:paraId="44BDE6EE" w14:textId="77777777" w:rsidR="00670C79" w:rsidRPr="00520BE3" w:rsidRDefault="00670C79" w:rsidP="006A5A1B">
            <w:pPr>
              <w:spacing w:line="360" w:lineRule="auto"/>
              <w:jc w:val="center"/>
            </w:pPr>
            <w:r w:rsidRPr="00520BE3">
              <w:t>2</w:t>
            </w:r>
          </w:p>
        </w:tc>
        <w:tc>
          <w:tcPr>
            <w:tcW w:w="900" w:type="dxa"/>
            <w:vAlign w:val="center"/>
          </w:tcPr>
          <w:p w14:paraId="44511A2B" w14:textId="77777777" w:rsidR="00670C79" w:rsidRPr="00520BE3" w:rsidRDefault="00670C79" w:rsidP="006A5A1B">
            <w:pPr>
              <w:spacing w:line="360" w:lineRule="auto"/>
              <w:jc w:val="center"/>
            </w:pPr>
            <w:r w:rsidRPr="00520BE3">
              <w:t>3</w:t>
            </w:r>
          </w:p>
        </w:tc>
        <w:tc>
          <w:tcPr>
            <w:tcW w:w="1080" w:type="dxa"/>
            <w:vAlign w:val="center"/>
          </w:tcPr>
          <w:p w14:paraId="7665B810" w14:textId="77777777" w:rsidR="00670C79" w:rsidRPr="00520BE3" w:rsidRDefault="00670C79" w:rsidP="006A5A1B">
            <w:pPr>
              <w:spacing w:line="360" w:lineRule="auto"/>
              <w:jc w:val="center"/>
            </w:pPr>
            <w:r w:rsidRPr="00520BE3">
              <w:t>4</w:t>
            </w:r>
          </w:p>
        </w:tc>
        <w:tc>
          <w:tcPr>
            <w:tcW w:w="1080" w:type="dxa"/>
            <w:vAlign w:val="center"/>
          </w:tcPr>
          <w:p w14:paraId="375332DA" w14:textId="77777777" w:rsidR="00670C79" w:rsidRPr="00520BE3" w:rsidRDefault="00670C79" w:rsidP="006A5A1B">
            <w:pPr>
              <w:spacing w:line="360" w:lineRule="auto"/>
              <w:jc w:val="center"/>
            </w:pPr>
            <w:r w:rsidRPr="00520BE3">
              <w:t>5</w:t>
            </w:r>
          </w:p>
        </w:tc>
        <w:tc>
          <w:tcPr>
            <w:tcW w:w="1260" w:type="dxa"/>
            <w:vAlign w:val="center"/>
          </w:tcPr>
          <w:p w14:paraId="0DD2A48C" w14:textId="77777777" w:rsidR="00670C79" w:rsidRPr="00520BE3" w:rsidRDefault="00670C79" w:rsidP="006A5A1B">
            <w:pPr>
              <w:spacing w:line="360" w:lineRule="auto"/>
              <w:jc w:val="center"/>
            </w:pPr>
            <w:r w:rsidRPr="00520BE3">
              <w:t>6</w:t>
            </w:r>
          </w:p>
        </w:tc>
        <w:tc>
          <w:tcPr>
            <w:tcW w:w="1980" w:type="dxa"/>
            <w:vAlign w:val="center"/>
          </w:tcPr>
          <w:p w14:paraId="64FF500C" w14:textId="77777777" w:rsidR="00670C79" w:rsidRPr="00520BE3" w:rsidRDefault="00670C79" w:rsidP="006A5A1B">
            <w:pPr>
              <w:spacing w:line="360" w:lineRule="auto"/>
              <w:jc w:val="center"/>
            </w:pPr>
            <w:r w:rsidRPr="00520BE3">
              <w:t>7</w:t>
            </w:r>
          </w:p>
        </w:tc>
      </w:tr>
      <w:tr w:rsidR="00520BE3" w:rsidRPr="00520BE3" w14:paraId="24F374CE" w14:textId="77777777" w:rsidTr="006A5A1B">
        <w:tc>
          <w:tcPr>
            <w:tcW w:w="2880" w:type="dxa"/>
          </w:tcPr>
          <w:p w14:paraId="16B8D264" w14:textId="77777777" w:rsidR="00670C79" w:rsidRPr="00520BE3" w:rsidRDefault="00670C79" w:rsidP="00085904">
            <w:pPr>
              <w:jc w:val="both"/>
            </w:pPr>
            <w:r w:rsidRPr="00520BE3">
              <w:t>1.Modificări ale veniturilor bugetare, plus/minus, din care:</w:t>
            </w:r>
          </w:p>
          <w:p w14:paraId="4B6C0C63" w14:textId="77777777" w:rsidR="00670C79" w:rsidRPr="00520BE3" w:rsidRDefault="00670C79" w:rsidP="00085904">
            <w:pPr>
              <w:jc w:val="both"/>
            </w:pPr>
            <w:r w:rsidRPr="00520BE3">
              <w:t>a)bugetul de stat, din acesta:</w:t>
            </w:r>
          </w:p>
          <w:p w14:paraId="0B240570" w14:textId="77777777" w:rsidR="00670C79" w:rsidRPr="00520BE3" w:rsidRDefault="00670C79" w:rsidP="00085904">
            <w:pPr>
              <w:jc w:val="both"/>
            </w:pPr>
            <w:r w:rsidRPr="00520BE3">
              <w:t>-impozit pe profit</w:t>
            </w:r>
          </w:p>
          <w:p w14:paraId="7FF15A7F" w14:textId="77777777" w:rsidR="00670C79" w:rsidRPr="00520BE3" w:rsidRDefault="00670C79" w:rsidP="00085904">
            <w:pPr>
              <w:jc w:val="both"/>
            </w:pPr>
            <w:r w:rsidRPr="00520BE3">
              <w:t>-impozit pe venit</w:t>
            </w:r>
          </w:p>
          <w:p w14:paraId="6929BEE8" w14:textId="77777777" w:rsidR="00670C79" w:rsidRPr="00520BE3" w:rsidRDefault="00670C79" w:rsidP="00085904">
            <w:pPr>
              <w:jc w:val="both"/>
            </w:pPr>
            <w:r w:rsidRPr="00520BE3">
              <w:t>b)bugete locale:</w:t>
            </w:r>
          </w:p>
          <w:p w14:paraId="018DC564" w14:textId="77777777" w:rsidR="00670C79" w:rsidRPr="00520BE3" w:rsidRDefault="00670C79" w:rsidP="00085904">
            <w:pPr>
              <w:jc w:val="both"/>
            </w:pPr>
            <w:r w:rsidRPr="00520BE3">
              <w:t>-impozit pe profit</w:t>
            </w:r>
          </w:p>
          <w:p w14:paraId="36DA5184" w14:textId="77777777" w:rsidR="00670C79" w:rsidRPr="00520BE3" w:rsidRDefault="00670C79" w:rsidP="00085904">
            <w:pPr>
              <w:jc w:val="both"/>
            </w:pPr>
            <w:r w:rsidRPr="00520BE3">
              <w:t>c)bugetul asigurărilor sociale</w:t>
            </w:r>
          </w:p>
          <w:p w14:paraId="5B8085EB" w14:textId="77777777" w:rsidR="00670C79" w:rsidRPr="00520BE3" w:rsidRDefault="00670C79" w:rsidP="00085904">
            <w:pPr>
              <w:jc w:val="both"/>
            </w:pPr>
            <w:r w:rsidRPr="00520BE3">
              <w:t>-</w:t>
            </w:r>
            <w:proofErr w:type="spellStart"/>
            <w:r w:rsidRPr="00520BE3">
              <w:t>contribuţii</w:t>
            </w:r>
            <w:proofErr w:type="spellEnd"/>
            <w:r w:rsidRPr="00520BE3">
              <w:t xml:space="preserve"> de asigurări</w:t>
            </w:r>
          </w:p>
          <w:p w14:paraId="7075F3AB" w14:textId="77777777" w:rsidR="0025682E" w:rsidRPr="00520BE3" w:rsidRDefault="0025682E" w:rsidP="00085904">
            <w:pPr>
              <w:jc w:val="both"/>
            </w:pPr>
          </w:p>
        </w:tc>
        <w:tc>
          <w:tcPr>
            <w:tcW w:w="1080" w:type="dxa"/>
          </w:tcPr>
          <w:p w14:paraId="7811CDB2" w14:textId="77777777" w:rsidR="00670C79" w:rsidRPr="00520BE3" w:rsidRDefault="00670C79" w:rsidP="006A5A1B">
            <w:pPr>
              <w:pStyle w:val="Corptext2"/>
              <w:rPr>
                <w:sz w:val="24"/>
              </w:rPr>
            </w:pPr>
          </w:p>
        </w:tc>
        <w:tc>
          <w:tcPr>
            <w:tcW w:w="900" w:type="dxa"/>
          </w:tcPr>
          <w:p w14:paraId="5E0D1921" w14:textId="77777777" w:rsidR="00670C79" w:rsidRPr="00520BE3" w:rsidRDefault="00670C79" w:rsidP="006A5A1B">
            <w:pPr>
              <w:pStyle w:val="Corptext2"/>
              <w:rPr>
                <w:sz w:val="24"/>
              </w:rPr>
            </w:pPr>
          </w:p>
        </w:tc>
        <w:tc>
          <w:tcPr>
            <w:tcW w:w="1080" w:type="dxa"/>
          </w:tcPr>
          <w:p w14:paraId="3789DD62" w14:textId="77777777" w:rsidR="00670C79" w:rsidRPr="00520BE3" w:rsidRDefault="00670C79" w:rsidP="006A5A1B">
            <w:pPr>
              <w:pStyle w:val="Corptext2"/>
              <w:rPr>
                <w:sz w:val="24"/>
              </w:rPr>
            </w:pPr>
          </w:p>
        </w:tc>
        <w:tc>
          <w:tcPr>
            <w:tcW w:w="1080" w:type="dxa"/>
          </w:tcPr>
          <w:p w14:paraId="3EFEBCA3" w14:textId="77777777" w:rsidR="00670C79" w:rsidRPr="00520BE3" w:rsidRDefault="00670C79" w:rsidP="006A5A1B">
            <w:pPr>
              <w:pStyle w:val="Corptext2"/>
              <w:rPr>
                <w:sz w:val="24"/>
              </w:rPr>
            </w:pPr>
          </w:p>
        </w:tc>
        <w:tc>
          <w:tcPr>
            <w:tcW w:w="1260" w:type="dxa"/>
          </w:tcPr>
          <w:p w14:paraId="4D97905B" w14:textId="77777777" w:rsidR="00670C79" w:rsidRPr="00520BE3" w:rsidRDefault="00670C79" w:rsidP="006A5A1B">
            <w:pPr>
              <w:pStyle w:val="Corptext2"/>
              <w:rPr>
                <w:sz w:val="24"/>
              </w:rPr>
            </w:pPr>
          </w:p>
        </w:tc>
        <w:tc>
          <w:tcPr>
            <w:tcW w:w="1980" w:type="dxa"/>
          </w:tcPr>
          <w:p w14:paraId="4A89D66A" w14:textId="77777777" w:rsidR="00670C79" w:rsidRPr="00520BE3" w:rsidRDefault="00670C79" w:rsidP="006A5A1B">
            <w:pPr>
              <w:pStyle w:val="Corptext2"/>
              <w:rPr>
                <w:sz w:val="24"/>
              </w:rPr>
            </w:pPr>
          </w:p>
        </w:tc>
      </w:tr>
      <w:tr w:rsidR="00520BE3" w:rsidRPr="00520BE3" w14:paraId="126F1061" w14:textId="77777777" w:rsidTr="006A5A1B">
        <w:tc>
          <w:tcPr>
            <w:tcW w:w="2880" w:type="dxa"/>
          </w:tcPr>
          <w:p w14:paraId="2AD4C393" w14:textId="77777777" w:rsidR="00ED5D29" w:rsidRPr="00520BE3" w:rsidRDefault="00ED5D29" w:rsidP="00085904">
            <w:pPr>
              <w:jc w:val="both"/>
            </w:pPr>
            <w:r w:rsidRPr="00520BE3">
              <w:lastRenderedPageBreak/>
              <w:t>2.Modificări ale cheltuielilor bugetare din care:</w:t>
            </w:r>
          </w:p>
          <w:p w14:paraId="3F5FB5D8" w14:textId="77777777" w:rsidR="00ED5D29" w:rsidRPr="00520BE3" w:rsidRDefault="00ED5D29" w:rsidP="00085904">
            <w:pPr>
              <w:jc w:val="both"/>
            </w:pPr>
            <w:r w:rsidRPr="00520BE3">
              <w:t>a)bugetul de stat, din acesta:</w:t>
            </w:r>
          </w:p>
          <w:p w14:paraId="55CFF855" w14:textId="77777777" w:rsidR="00ED5D29" w:rsidRPr="00520BE3" w:rsidRDefault="00ED5D29" w:rsidP="00085904">
            <w:pPr>
              <w:jc w:val="both"/>
            </w:pPr>
            <w:r w:rsidRPr="00520BE3">
              <w:t>-cheltuieli de personal</w:t>
            </w:r>
          </w:p>
          <w:p w14:paraId="2676BF0E" w14:textId="77777777" w:rsidR="00ED5D29" w:rsidRPr="00520BE3" w:rsidRDefault="00ED5D29" w:rsidP="00085904">
            <w:pPr>
              <w:jc w:val="both"/>
            </w:pPr>
            <w:r w:rsidRPr="00520BE3">
              <w:t>-bunuri şi servicii</w:t>
            </w:r>
          </w:p>
          <w:p w14:paraId="348C3E53" w14:textId="77777777" w:rsidR="00ED5D29" w:rsidRPr="00520BE3" w:rsidRDefault="00ED5D29" w:rsidP="00085904">
            <w:pPr>
              <w:jc w:val="both"/>
            </w:pPr>
            <w:r w:rsidRPr="00520BE3">
              <w:t>b)bugete locale:</w:t>
            </w:r>
          </w:p>
          <w:p w14:paraId="033FBF83" w14:textId="77777777" w:rsidR="00ED5D29" w:rsidRPr="00520BE3" w:rsidRDefault="00ED5D29" w:rsidP="00085904">
            <w:pPr>
              <w:jc w:val="both"/>
            </w:pPr>
            <w:r w:rsidRPr="00520BE3">
              <w:t>-cheltuieli de personal</w:t>
            </w:r>
          </w:p>
          <w:p w14:paraId="3FA2B166" w14:textId="77777777" w:rsidR="00ED5D29" w:rsidRPr="00520BE3" w:rsidRDefault="00ED5D29" w:rsidP="00085904">
            <w:pPr>
              <w:jc w:val="both"/>
            </w:pPr>
            <w:r w:rsidRPr="00520BE3">
              <w:t>-bunuri şi servicii</w:t>
            </w:r>
          </w:p>
          <w:p w14:paraId="5F7C615C" w14:textId="77777777" w:rsidR="00ED5D29" w:rsidRPr="00520BE3" w:rsidRDefault="00ED5D29" w:rsidP="00085904">
            <w:pPr>
              <w:jc w:val="both"/>
            </w:pPr>
            <w:r w:rsidRPr="00520BE3">
              <w:t>c)bugetul asigurărilor sociale</w:t>
            </w:r>
          </w:p>
          <w:p w14:paraId="41AFE5F5" w14:textId="77777777" w:rsidR="00ED5D29" w:rsidRPr="00520BE3" w:rsidRDefault="00ED5D29" w:rsidP="00085904">
            <w:pPr>
              <w:jc w:val="both"/>
            </w:pPr>
            <w:r w:rsidRPr="00520BE3">
              <w:t>-cheltuieli de personal</w:t>
            </w:r>
          </w:p>
          <w:p w14:paraId="6C9E6E7F" w14:textId="77777777" w:rsidR="00ED5D29" w:rsidRPr="00520BE3" w:rsidRDefault="00ED5D29" w:rsidP="00085904">
            <w:pPr>
              <w:jc w:val="both"/>
            </w:pPr>
            <w:r w:rsidRPr="00520BE3">
              <w:t>-bunuri şi servicii</w:t>
            </w:r>
          </w:p>
          <w:p w14:paraId="1415B230" w14:textId="77777777" w:rsidR="0025682E" w:rsidRPr="00520BE3" w:rsidRDefault="0025682E" w:rsidP="00085904">
            <w:pPr>
              <w:jc w:val="both"/>
            </w:pPr>
          </w:p>
        </w:tc>
        <w:tc>
          <w:tcPr>
            <w:tcW w:w="1080" w:type="dxa"/>
          </w:tcPr>
          <w:p w14:paraId="354BA24A" w14:textId="77777777" w:rsidR="00ED5D29" w:rsidRPr="00520BE3" w:rsidRDefault="00ED5D29" w:rsidP="00A84D54">
            <w:pPr>
              <w:jc w:val="both"/>
            </w:pPr>
            <w:r w:rsidRPr="00520BE3">
              <w:t>0</w:t>
            </w:r>
          </w:p>
          <w:p w14:paraId="7BB1C451" w14:textId="77777777" w:rsidR="00ED5D29" w:rsidRPr="00520BE3" w:rsidRDefault="00ED5D29" w:rsidP="006A5A1B">
            <w:pPr>
              <w:jc w:val="both"/>
            </w:pPr>
          </w:p>
        </w:tc>
        <w:tc>
          <w:tcPr>
            <w:tcW w:w="900" w:type="dxa"/>
          </w:tcPr>
          <w:p w14:paraId="44C5A3FF" w14:textId="57ABCAA9" w:rsidR="00ED5D29" w:rsidRPr="00520BE3" w:rsidRDefault="00ED5D29" w:rsidP="006A5A1B">
            <w:r w:rsidRPr="00520BE3">
              <w:t>0</w:t>
            </w:r>
          </w:p>
        </w:tc>
        <w:tc>
          <w:tcPr>
            <w:tcW w:w="1080" w:type="dxa"/>
          </w:tcPr>
          <w:p w14:paraId="1702DFD2" w14:textId="039177DE" w:rsidR="00ED5D29" w:rsidRPr="00520BE3" w:rsidRDefault="00ED5D29" w:rsidP="006A5A1B">
            <w:r w:rsidRPr="00520BE3">
              <w:t>0</w:t>
            </w:r>
          </w:p>
        </w:tc>
        <w:tc>
          <w:tcPr>
            <w:tcW w:w="1080" w:type="dxa"/>
          </w:tcPr>
          <w:p w14:paraId="1D7B38D6" w14:textId="297C61C9" w:rsidR="00ED5D29" w:rsidRPr="00520BE3" w:rsidRDefault="007D5B0F" w:rsidP="006A5A1B">
            <w:r w:rsidRPr="00520BE3">
              <w:t>0</w:t>
            </w:r>
          </w:p>
        </w:tc>
        <w:tc>
          <w:tcPr>
            <w:tcW w:w="1260" w:type="dxa"/>
          </w:tcPr>
          <w:p w14:paraId="09F7CD9E" w14:textId="23C02680" w:rsidR="00ED5D29" w:rsidRPr="00520BE3" w:rsidRDefault="007D5B0F" w:rsidP="006A5A1B">
            <w:r w:rsidRPr="00520BE3">
              <w:t>0</w:t>
            </w:r>
          </w:p>
        </w:tc>
        <w:tc>
          <w:tcPr>
            <w:tcW w:w="1980" w:type="dxa"/>
          </w:tcPr>
          <w:p w14:paraId="16493B27" w14:textId="1D91C51C" w:rsidR="00ED5D29" w:rsidRPr="00520BE3" w:rsidRDefault="007D5B0F" w:rsidP="006A5A1B">
            <w:r w:rsidRPr="00520BE3">
              <w:t>0</w:t>
            </w:r>
          </w:p>
        </w:tc>
      </w:tr>
      <w:tr w:rsidR="00520BE3" w:rsidRPr="00520BE3" w14:paraId="260B3CE9" w14:textId="77777777" w:rsidTr="006A5A1B">
        <w:tc>
          <w:tcPr>
            <w:tcW w:w="2880" w:type="dxa"/>
          </w:tcPr>
          <w:p w14:paraId="49D40F1D" w14:textId="77777777" w:rsidR="00ED5D29" w:rsidRPr="00520BE3" w:rsidRDefault="00ED5D29" w:rsidP="00085904">
            <w:pPr>
              <w:jc w:val="both"/>
            </w:pPr>
            <w:r w:rsidRPr="00520BE3">
              <w:t>3.Impact financiar, plus/minus, din care:</w:t>
            </w:r>
          </w:p>
          <w:p w14:paraId="67549603" w14:textId="77777777" w:rsidR="00ED5D29" w:rsidRPr="00520BE3" w:rsidRDefault="00ED5D29" w:rsidP="00085904">
            <w:pPr>
              <w:jc w:val="both"/>
            </w:pPr>
            <w:r w:rsidRPr="00520BE3">
              <w:t>a) buget de stat</w:t>
            </w:r>
          </w:p>
          <w:p w14:paraId="330BE00F" w14:textId="77777777" w:rsidR="00ED5D29" w:rsidRPr="00520BE3" w:rsidRDefault="00ED5D29" w:rsidP="00085904">
            <w:pPr>
              <w:jc w:val="both"/>
            </w:pPr>
            <w:r w:rsidRPr="00520BE3">
              <w:t>b)bugete locale</w:t>
            </w:r>
          </w:p>
        </w:tc>
        <w:tc>
          <w:tcPr>
            <w:tcW w:w="7380" w:type="dxa"/>
            <w:gridSpan w:val="6"/>
            <w:vAlign w:val="center"/>
          </w:tcPr>
          <w:p w14:paraId="699F79A9" w14:textId="77777777" w:rsidR="00ED5D29" w:rsidRPr="00520BE3" w:rsidRDefault="00ED5D29" w:rsidP="006A5A1B">
            <w:r w:rsidRPr="00520BE3">
              <w:rPr>
                <w:noProof/>
              </w:rPr>
              <w:t>Proiectul de act normativ nu se referă la acest subiect.</w:t>
            </w:r>
          </w:p>
        </w:tc>
      </w:tr>
      <w:tr w:rsidR="00520BE3" w:rsidRPr="00520BE3" w14:paraId="675CE50B" w14:textId="77777777" w:rsidTr="006A5A1B">
        <w:tc>
          <w:tcPr>
            <w:tcW w:w="2880" w:type="dxa"/>
          </w:tcPr>
          <w:p w14:paraId="182C7B6E" w14:textId="77777777" w:rsidR="00ED5D29" w:rsidRPr="00520BE3" w:rsidRDefault="00ED5D29" w:rsidP="006A5A1B">
            <w:r w:rsidRPr="00520BE3">
              <w:t xml:space="preserve">4. Propuneri pentru </w:t>
            </w:r>
          </w:p>
          <w:p w14:paraId="7D87FB0E" w14:textId="77777777" w:rsidR="00ED5D29" w:rsidRPr="00520BE3" w:rsidRDefault="00ED5D29" w:rsidP="006A5A1B">
            <w:r w:rsidRPr="00520BE3">
              <w:t xml:space="preserve">acoperirea </w:t>
            </w:r>
            <w:proofErr w:type="spellStart"/>
            <w:r w:rsidRPr="00520BE3">
              <w:t>creşterilor</w:t>
            </w:r>
            <w:proofErr w:type="spellEnd"/>
            <w:r w:rsidRPr="00520BE3">
              <w:t xml:space="preserve"> de cheltuieli</w:t>
            </w:r>
          </w:p>
        </w:tc>
        <w:tc>
          <w:tcPr>
            <w:tcW w:w="7380" w:type="dxa"/>
            <w:gridSpan w:val="6"/>
            <w:vAlign w:val="center"/>
          </w:tcPr>
          <w:p w14:paraId="64B74EF4" w14:textId="77777777" w:rsidR="00ED5D29" w:rsidRPr="00520BE3" w:rsidRDefault="00ED5D29" w:rsidP="006A5A1B">
            <w:pPr>
              <w:rPr>
                <w:noProof/>
              </w:rPr>
            </w:pPr>
            <w:r w:rsidRPr="00520BE3">
              <w:rPr>
                <w:noProof/>
              </w:rPr>
              <w:t>Proiectul de act normativ nu se referă la acest subiect.</w:t>
            </w:r>
          </w:p>
        </w:tc>
      </w:tr>
      <w:tr w:rsidR="00520BE3" w:rsidRPr="00520BE3" w14:paraId="0436F908" w14:textId="77777777" w:rsidTr="006A5A1B">
        <w:tc>
          <w:tcPr>
            <w:tcW w:w="2880" w:type="dxa"/>
          </w:tcPr>
          <w:p w14:paraId="71CBC13E" w14:textId="77777777" w:rsidR="00ED5D29" w:rsidRPr="00520BE3" w:rsidRDefault="00ED5D29" w:rsidP="006A5A1B">
            <w:r w:rsidRPr="00520BE3">
              <w:t>5. Propuneri pentru acoperirea scăderilor  de venituri</w:t>
            </w:r>
          </w:p>
        </w:tc>
        <w:tc>
          <w:tcPr>
            <w:tcW w:w="7380" w:type="dxa"/>
            <w:gridSpan w:val="6"/>
            <w:vAlign w:val="center"/>
          </w:tcPr>
          <w:p w14:paraId="30C15718" w14:textId="77777777" w:rsidR="00ED5D29" w:rsidRPr="00520BE3" w:rsidRDefault="00ED5D29" w:rsidP="006A5A1B">
            <w:pPr>
              <w:spacing w:line="360" w:lineRule="auto"/>
              <w:rPr>
                <w:noProof/>
              </w:rPr>
            </w:pPr>
            <w:r w:rsidRPr="00520BE3">
              <w:rPr>
                <w:noProof/>
              </w:rPr>
              <w:t>Proiectul de act normativ nu se referă la acest subiect.</w:t>
            </w:r>
          </w:p>
        </w:tc>
      </w:tr>
      <w:tr w:rsidR="00520BE3" w:rsidRPr="00520BE3" w14:paraId="47075FD6" w14:textId="77777777" w:rsidTr="006A5A1B">
        <w:tc>
          <w:tcPr>
            <w:tcW w:w="2880" w:type="dxa"/>
          </w:tcPr>
          <w:p w14:paraId="1501EE15" w14:textId="77777777" w:rsidR="00ED5D29" w:rsidRPr="00520BE3" w:rsidRDefault="00ED5D29" w:rsidP="006A5A1B">
            <w:r w:rsidRPr="00520BE3">
              <w:t>6. Calcule detaliate privind fundamentarea modificărilor  veniturilor şi/sau cheltuielilor bugetare</w:t>
            </w:r>
          </w:p>
          <w:p w14:paraId="4BFC5C0E" w14:textId="77777777" w:rsidR="0025682E" w:rsidRPr="00520BE3" w:rsidRDefault="0025682E" w:rsidP="006A5A1B"/>
        </w:tc>
        <w:tc>
          <w:tcPr>
            <w:tcW w:w="7380" w:type="dxa"/>
            <w:gridSpan w:val="6"/>
            <w:vAlign w:val="center"/>
          </w:tcPr>
          <w:p w14:paraId="2B646F1C" w14:textId="77777777" w:rsidR="00ED5D29" w:rsidRPr="00520BE3" w:rsidRDefault="00ED5D29" w:rsidP="006A5A1B">
            <w:pPr>
              <w:spacing w:line="360" w:lineRule="auto"/>
              <w:rPr>
                <w:noProof/>
              </w:rPr>
            </w:pPr>
            <w:r w:rsidRPr="00520BE3">
              <w:rPr>
                <w:noProof/>
              </w:rPr>
              <w:t>Proiectul de act normativ nu se referă la acest subiect.</w:t>
            </w:r>
          </w:p>
        </w:tc>
      </w:tr>
      <w:tr w:rsidR="00520BE3" w:rsidRPr="00520BE3" w14:paraId="134CE0E5" w14:textId="77777777" w:rsidTr="006A5A1B">
        <w:tc>
          <w:tcPr>
            <w:tcW w:w="2880" w:type="dxa"/>
          </w:tcPr>
          <w:p w14:paraId="00F46658" w14:textId="77777777" w:rsidR="00ED5D29" w:rsidRPr="00520BE3" w:rsidRDefault="00ED5D29" w:rsidP="006A5A1B">
            <w:r w:rsidRPr="00520BE3">
              <w:t xml:space="preserve">7. Alte </w:t>
            </w:r>
            <w:proofErr w:type="spellStart"/>
            <w:r w:rsidRPr="00520BE3">
              <w:t>informaţii</w:t>
            </w:r>
            <w:proofErr w:type="spellEnd"/>
          </w:p>
        </w:tc>
        <w:tc>
          <w:tcPr>
            <w:tcW w:w="7380" w:type="dxa"/>
            <w:gridSpan w:val="6"/>
          </w:tcPr>
          <w:p w14:paraId="3B06EA07" w14:textId="7FA0FEDF" w:rsidR="0025682E" w:rsidRPr="00520BE3" w:rsidRDefault="00EE79AE" w:rsidP="00FB1A1C">
            <w:pPr>
              <w:spacing w:before="120" w:after="120"/>
              <w:jc w:val="both"/>
            </w:pPr>
            <w:r>
              <w:t>Nu au fost identificate.</w:t>
            </w:r>
          </w:p>
        </w:tc>
      </w:tr>
    </w:tbl>
    <w:p w14:paraId="0D770500" w14:textId="1DF75E72" w:rsidR="00FB1A1C" w:rsidRPr="00520BE3" w:rsidRDefault="00670C79" w:rsidP="00670C79">
      <w:pPr>
        <w:jc w:val="both"/>
        <w:rPr>
          <w:b/>
        </w:rPr>
      </w:pPr>
      <w:r w:rsidRPr="00520BE3">
        <w:rPr>
          <w:b/>
        </w:rPr>
        <w:t xml:space="preserve">   </w:t>
      </w:r>
    </w:p>
    <w:p w14:paraId="2A07975C" w14:textId="77777777" w:rsidR="00FB1A1C" w:rsidRPr="00520BE3" w:rsidRDefault="00FB1A1C" w:rsidP="00670C79">
      <w:pPr>
        <w:jc w:val="both"/>
        <w:rPr>
          <w:b/>
        </w:rPr>
      </w:pPr>
    </w:p>
    <w:p w14:paraId="7E1BCAF6" w14:textId="23E3D186" w:rsidR="00670C79" w:rsidRPr="00520BE3" w:rsidRDefault="00670C79" w:rsidP="00670C79">
      <w:pPr>
        <w:jc w:val="both"/>
        <w:rPr>
          <w:b/>
        </w:rPr>
      </w:pPr>
      <w:proofErr w:type="spellStart"/>
      <w:r w:rsidRPr="00520BE3">
        <w:rPr>
          <w:b/>
        </w:rPr>
        <w:t>Secţiunea</w:t>
      </w:r>
      <w:proofErr w:type="spellEnd"/>
      <w:r w:rsidRPr="00520BE3">
        <w:rPr>
          <w:b/>
        </w:rPr>
        <w:t xml:space="preserve"> a 5-a - Efectele proiectului de act normativ asupra legislaţiei în vigoare</w:t>
      </w:r>
    </w:p>
    <w:p w14:paraId="21BBF90B" w14:textId="77777777" w:rsidR="001F733F" w:rsidRPr="00520BE3" w:rsidRDefault="001F733F" w:rsidP="00670C79">
      <w:pPr>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520BE3" w:rsidRPr="00520BE3" w14:paraId="327176B4" w14:textId="77777777" w:rsidTr="00527866">
        <w:trPr>
          <w:trHeight w:val="561"/>
        </w:trPr>
        <w:tc>
          <w:tcPr>
            <w:tcW w:w="5040" w:type="dxa"/>
          </w:tcPr>
          <w:p w14:paraId="0B464A83" w14:textId="77777777" w:rsidR="00670C79" w:rsidRPr="00520BE3" w:rsidRDefault="00670C79" w:rsidP="006A5A1B">
            <w:pPr>
              <w:jc w:val="both"/>
            </w:pPr>
            <w:r w:rsidRPr="00520BE3">
              <w:t>1.Măsuri normative necesare pentru aplicarea prevederilor proiectului de act normativ:</w:t>
            </w:r>
          </w:p>
          <w:p w14:paraId="22A542E8" w14:textId="77777777" w:rsidR="00670C79" w:rsidRPr="00520BE3" w:rsidRDefault="00670C79" w:rsidP="00085904">
            <w:pPr>
              <w:jc w:val="both"/>
            </w:pPr>
            <w:r w:rsidRPr="00520BE3">
              <w:t>a) acte normative în vigoare ce vor fi modificate sau abrogate, ca urmare a intrării în vigoare a proiectului de act normativ;</w:t>
            </w:r>
          </w:p>
          <w:p w14:paraId="3904846A" w14:textId="77777777" w:rsidR="00527866" w:rsidRPr="00520BE3" w:rsidRDefault="00670C79" w:rsidP="00085904">
            <w:pPr>
              <w:jc w:val="both"/>
            </w:pPr>
            <w:r w:rsidRPr="00520BE3">
              <w:t xml:space="preserve">b) acte normative ce urmează a fi elaborate în vederea implementării noilor </w:t>
            </w:r>
            <w:proofErr w:type="spellStart"/>
            <w:r w:rsidRPr="00520BE3">
              <w:t>dispoziţii</w:t>
            </w:r>
            <w:proofErr w:type="spellEnd"/>
            <w:r w:rsidRPr="00520BE3">
              <w:t>.</w:t>
            </w:r>
          </w:p>
          <w:p w14:paraId="7D58B0F1" w14:textId="77777777" w:rsidR="00670C79" w:rsidRPr="00520BE3" w:rsidRDefault="00670C79" w:rsidP="00527866"/>
        </w:tc>
        <w:tc>
          <w:tcPr>
            <w:tcW w:w="5220" w:type="dxa"/>
          </w:tcPr>
          <w:p w14:paraId="7C430706" w14:textId="65ADFBEB" w:rsidR="004D210B" w:rsidRPr="00520BE3" w:rsidRDefault="006D37D0" w:rsidP="006D37D0">
            <w:pPr>
              <w:pStyle w:val="Listparagraf"/>
              <w:tabs>
                <w:tab w:val="left" w:pos="201"/>
              </w:tabs>
              <w:ind w:left="59"/>
              <w:jc w:val="both"/>
              <w:rPr>
                <w:rFonts w:ascii="Times New Roman" w:hAnsi="Times New Roman" w:cs="Times New Roman"/>
              </w:rPr>
            </w:pPr>
            <w:r w:rsidRPr="00520BE3">
              <w:rPr>
                <w:rFonts w:ascii="Times New Roman" w:hAnsi="Times New Roman" w:cs="Times New Roman"/>
              </w:rPr>
              <w:t>Proiectul de act normativ nu se referă la acest subiect.</w:t>
            </w:r>
          </w:p>
        </w:tc>
      </w:tr>
      <w:tr w:rsidR="00520BE3" w:rsidRPr="00520BE3" w14:paraId="457614B1" w14:textId="77777777" w:rsidTr="006A5A1B">
        <w:trPr>
          <w:trHeight w:val="636"/>
        </w:trPr>
        <w:tc>
          <w:tcPr>
            <w:tcW w:w="5040" w:type="dxa"/>
          </w:tcPr>
          <w:p w14:paraId="45E3A53E" w14:textId="0D1CA120" w:rsidR="00670C79" w:rsidRPr="00520BE3" w:rsidRDefault="00670C79" w:rsidP="00085904">
            <w:pPr>
              <w:pStyle w:val="PreformatatHTML"/>
              <w:shd w:val="clear" w:color="auto" w:fill="FFFFFF"/>
              <w:jc w:val="both"/>
              <w:rPr>
                <w:rFonts w:ascii="Times New Roman" w:hAnsi="Times New Roman" w:cs="Times New Roman"/>
                <w:sz w:val="24"/>
                <w:szCs w:val="24"/>
              </w:rPr>
            </w:pPr>
            <w:r w:rsidRPr="00520BE3">
              <w:rPr>
                <w:rFonts w:ascii="Times New Roman" w:hAnsi="Times New Roman" w:cs="Times New Roman"/>
                <w:sz w:val="24"/>
                <w:szCs w:val="24"/>
              </w:rPr>
              <w:t xml:space="preserve">1^1. Compatibilitatea proiectului de act normativ cu </w:t>
            </w:r>
            <w:proofErr w:type="spellStart"/>
            <w:r w:rsidRPr="00520BE3">
              <w:rPr>
                <w:rFonts w:ascii="Times New Roman" w:hAnsi="Times New Roman" w:cs="Times New Roman"/>
                <w:sz w:val="24"/>
                <w:szCs w:val="24"/>
              </w:rPr>
              <w:t>legislaţia</w:t>
            </w:r>
            <w:proofErr w:type="spellEnd"/>
            <w:r w:rsidRPr="00520BE3">
              <w:rPr>
                <w:rFonts w:ascii="Times New Roman" w:hAnsi="Times New Roman" w:cs="Times New Roman"/>
                <w:sz w:val="24"/>
                <w:szCs w:val="24"/>
              </w:rPr>
              <w:t xml:space="preserve"> în domeniul </w:t>
            </w:r>
            <w:proofErr w:type="spellStart"/>
            <w:r w:rsidRPr="00520BE3">
              <w:rPr>
                <w:rFonts w:ascii="Times New Roman" w:hAnsi="Times New Roman" w:cs="Times New Roman"/>
                <w:sz w:val="24"/>
                <w:szCs w:val="24"/>
              </w:rPr>
              <w:t>achiziţiilor</w:t>
            </w:r>
            <w:proofErr w:type="spellEnd"/>
            <w:r w:rsidRPr="00520BE3">
              <w:rPr>
                <w:rFonts w:ascii="Times New Roman" w:hAnsi="Times New Roman" w:cs="Times New Roman"/>
                <w:sz w:val="24"/>
                <w:szCs w:val="24"/>
              </w:rPr>
              <w:t xml:space="preserve"> publice</w:t>
            </w:r>
          </w:p>
        </w:tc>
        <w:tc>
          <w:tcPr>
            <w:tcW w:w="5220" w:type="dxa"/>
          </w:tcPr>
          <w:p w14:paraId="49470ACC" w14:textId="77777777" w:rsidR="00670C79" w:rsidRPr="00520BE3" w:rsidRDefault="00670C79" w:rsidP="006A5A1B">
            <w:pPr>
              <w:jc w:val="both"/>
            </w:pPr>
            <w:r w:rsidRPr="00520BE3">
              <w:t>Proiectul de act normativ nu se referă la acest subiect.</w:t>
            </w:r>
          </w:p>
        </w:tc>
      </w:tr>
      <w:tr w:rsidR="00520BE3" w:rsidRPr="00520BE3" w14:paraId="787E8B98" w14:textId="77777777" w:rsidTr="006A5A1B">
        <w:tc>
          <w:tcPr>
            <w:tcW w:w="5040" w:type="dxa"/>
          </w:tcPr>
          <w:p w14:paraId="5E04A94F" w14:textId="77777777" w:rsidR="00670C79" w:rsidRPr="00520BE3" w:rsidRDefault="00670C79" w:rsidP="006A5A1B">
            <w:pPr>
              <w:jc w:val="both"/>
            </w:pPr>
            <w:r w:rsidRPr="00520BE3">
              <w:t xml:space="preserve">2. Conformitatea  proiectului de act normativ cu </w:t>
            </w:r>
            <w:proofErr w:type="spellStart"/>
            <w:r w:rsidRPr="00520BE3">
              <w:t>legislaţia</w:t>
            </w:r>
            <w:proofErr w:type="spellEnd"/>
            <w:r w:rsidRPr="00520BE3">
              <w:t xml:space="preserve"> comunitară în cazul proiectelor ce transpun prevederi comunitare</w:t>
            </w:r>
          </w:p>
        </w:tc>
        <w:tc>
          <w:tcPr>
            <w:tcW w:w="5220" w:type="dxa"/>
            <w:vAlign w:val="center"/>
          </w:tcPr>
          <w:p w14:paraId="73E021D3" w14:textId="77777777" w:rsidR="00670C79" w:rsidRPr="00520BE3" w:rsidRDefault="00670C79" w:rsidP="006A5A1B">
            <w:pPr>
              <w:jc w:val="both"/>
            </w:pPr>
            <w:r w:rsidRPr="00520BE3">
              <w:t>Proiectul de act normativ nu se referă la acest subiect.</w:t>
            </w:r>
          </w:p>
        </w:tc>
      </w:tr>
      <w:tr w:rsidR="009F22AF" w:rsidRPr="00520BE3" w14:paraId="344D3A2E" w14:textId="77777777" w:rsidTr="006A5A1B">
        <w:tc>
          <w:tcPr>
            <w:tcW w:w="5040" w:type="dxa"/>
          </w:tcPr>
          <w:p w14:paraId="1C80FA7B" w14:textId="2D293DAB" w:rsidR="009F22AF" w:rsidRPr="00520BE3" w:rsidRDefault="009F22AF" w:rsidP="00085904">
            <w:pPr>
              <w:jc w:val="both"/>
            </w:pPr>
            <w:r>
              <w:lastRenderedPageBreak/>
              <w:t>3. Măsuri normative necesare aplicării directe a actelor normative comunitare europene</w:t>
            </w:r>
          </w:p>
        </w:tc>
        <w:tc>
          <w:tcPr>
            <w:tcW w:w="5220" w:type="dxa"/>
            <w:vAlign w:val="center"/>
          </w:tcPr>
          <w:p w14:paraId="1B15F463" w14:textId="7741D1B2" w:rsidR="009F22AF" w:rsidRPr="00520BE3" w:rsidRDefault="009F22AF" w:rsidP="006A5A1B">
            <w:pPr>
              <w:jc w:val="both"/>
            </w:pPr>
            <w:r w:rsidRPr="009F22AF">
              <w:t>Proiectul de act normativ nu se referă la acest subiect.</w:t>
            </w:r>
          </w:p>
        </w:tc>
      </w:tr>
      <w:tr w:rsidR="00520BE3" w:rsidRPr="00520BE3" w14:paraId="64CA1687" w14:textId="77777777" w:rsidTr="006A5A1B">
        <w:tc>
          <w:tcPr>
            <w:tcW w:w="5040" w:type="dxa"/>
          </w:tcPr>
          <w:p w14:paraId="29BE2E72" w14:textId="77777777" w:rsidR="00670C79" w:rsidRPr="00520BE3" w:rsidRDefault="00670C79" w:rsidP="00085904">
            <w:pPr>
              <w:jc w:val="both"/>
            </w:pPr>
            <w:r w:rsidRPr="00520BE3">
              <w:t xml:space="preserve">4. Hotărâri ale </w:t>
            </w:r>
            <w:proofErr w:type="spellStart"/>
            <w:r w:rsidRPr="00520BE3">
              <w:t>Curţii</w:t>
            </w:r>
            <w:proofErr w:type="spellEnd"/>
            <w:r w:rsidRPr="00520BE3">
              <w:t xml:space="preserve"> de </w:t>
            </w:r>
            <w:proofErr w:type="spellStart"/>
            <w:r w:rsidRPr="00520BE3">
              <w:t>Justiţie</w:t>
            </w:r>
            <w:proofErr w:type="spellEnd"/>
            <w:r w:rsidRPr="00520BE3">
              <w:t xml:space="preserve"> a Uniunii Europene</w:t>
            </w:r>
          </w:p>
        </w:tc>
        <w:tc>
          <w:tcPr>
            <w:tcW w:w="5220" w:type="dxa"/>
            <w:vAlign w:val="center"/>
          </w:tcPr>
          <w:p w14:paraId="0008985F" w14:textId="77777777" w:rsidR="00670C79" w:rsidRPr="00520BE3" w:rsidRDefault="00670C79" w:rsidP="006A5A1B">
            <w:pPr>
              <w:jc w:val="both"/>
            </w:pPr>
            <w:r w:rsidRPr="00520BE3">
              <w:t>Proiectul de act normativ nu se referă la acest subiect.</w:t>
            </w:r>
          </w:p>
        </w:tc>
      </w:tr>
      <w:tr w:rsidR="00520BE3" w:rsidRPr="00520BE3" w14:paraId="107AD4C3" w14:textId="77777777" w:rsidTr="006A5A1B">
        <w:tc>
          <w:tcPr>
            <w:tcW w:w="5040" w:type="dxa"/>
          </w:tcPr>
          <w:p w14:paraId="37CF24B8" w14:textId="77777777" w:rsidR="00670C79" w:rsidRPr="00520BE3" w:rsidRDefault="00670C79" w:rsidP="00085904">
            <w:pPr>
              <w:jc w:val="both"/>
            </w:pPr>
            <w:r w:rsidRPr="00520BE3">
              <w:t xml:space="preserve">5. Alte acte normative şi/sau documente </w:t>
            </w:r>
            <w:proofErr w:type="spellStart"/>
            <w:r w:rsidRPr="00520BE3">
              <w:t>internaţionale</w:t>
            </w:r>
            <w:proofErr w:type="spellEnd"/>
            <w:r w:rsidRPr="00520BE3">
              <w:t xml:space="preserve"> din care decurg angajamente</w:t>
            </w:r>
          </w:p>
        </w:tc>
        <w:tc>
          <w:tcPr>
            <w:tcW w:w="5220" w:type="dxa"/>
            <w:vAlign w:val="center"/>
          </w:tcPr>
          <w:p w14:paraId="20C068A2" w14:textId="77777777" w:rsidR="00670C79" w:rsidRPr="00520BE3" w:rsidRDefault="00670C79" w:rsidP="006A5A1B">
            <w:pPr>
              <w:jc w:val="both"/>
            </w:pPr>
            <w:r w:rsidRPr="00520BE3">
              <w:t>Proiectul de act normativ nu se referă la acest subiect.</w:t>
            </w:r>
          </w:p>
        </w:tc>
      </w:tr>
      <w:tr w:rsidR="00670C79" w:rsidRPr="00520BE3" w14:paraId="56F5B91F" w14:textId="77777777" w:rsidTr="006A5A1B">
        <w:tc>
          <w:tcPr>
            <w:tcW w:w="5040" w:type="dxa"/>
          </w:tcPr>
          <w:p w14:paraId="5341025F" w14:textId="77777777" w:rsidR="00670C79" w:rsidRPr="00520BE3" w:rsidRDefault="00670C79" w:rsidP="00085904">
            <w:pPr>
              <w:jc w:val="both"/>
            </w:pPr>
            <w:r w:rsidRPr="00520BE3">
              <w:t xml:space="preserve">6.Alte </w:t>
            </w:r>
            <w:proofErr w:type="spellStart"/>
            <w:r w:rsidRPr="00520BE3">
              <w:t>informaţii</w:t>
            </w:r>
            <w:proofErr w:type="spellEnd"/>
          </w:p>
        </w:tc>
        <w:tc>
          <w:tcPr>
            <w:tcW w:w="5220" w:type="dxa"/>
            <w:vAlign w:val="center"/>
          </w:tcPr>
          <w:p w14:paraId="0004E5EF" w14:textId="77777777" w:rsidR="00670C79" w:rsidRPr="00520BE3" w:rsidRDefault="00670C79" w:rsidP="006A5A1B">
            <w:pPr>
              <w:jc w:val="both"/>
            </w:pPr>
            <w:r w:rsidRPr="00520BE3">
              <w:t>Nu au fost identificate.</w:t>
            </w:r>
          </w:p>
        </w:tc>
      </w:tr>
    </w:tbl>
    <w:p w14:paraId="6BA12791" w14:textId="77777777" w:rsidR="00575BCE" w:rsidRPr="00520BE3" w:rsidRDefault="00575BCE" w:rsidP="00670C79">
      <w:pPr>
        <w:jc w:val="center"/>
        <w:rPr>
          <w:b/>
        </w:rPr>
      </w:pPr>
    </w:p>
    <w:p w14:paraId="4113E59E" w14:textId="77777777" w:rsidR="00670C79" w:rsidRPr="00520BE3" w:rsidRDefault="00670C79" w:rsidP="00670C79">
      <w:pPr>
        <w:jc w:val="center"/>
        <w:rPr>
          <w:b/>
        </w:rPr>
      </w:pPr>
      <w:r w:rsidRPr="00520BE3">
        <w:rPr>
          <w:b/>
        </w:rPr>
        <w:t>6. Consultările efectuate în vederea elaborării proiectului de act normativ</w:t>
      </w:r>
    </w:p>
    <w:p w14:paraId="2077D433" w14:textId="77777777" w:rsidR="00575BCE" w:rsidRPr="00520BE3" w:rsidRDefault="00575BCE" w:rsidP="00670C79">
      <w:pPr>
        <w:jc w:val="center"/>
        <w:rPr>
          <w:b/>
        </w:rPr>
      </w:pPr>
    </w:p>
    <w:p w14:paraId="434DEA32" w14:textId="77777777" w:rsidR="001F733F" w:rsidRPr="00520BE3" w:rsidRDefault="001F733F" w:rsidP="00670C79">
      <w:pPr>
        <w:jc w:val="center"/>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520BE3" w:rsidRPr="00520BE3" w14:paraId="65D4A307" w14:textId="77777777" w:rsidTr="006A5A1B">
        <w:tc>
          <w:tcPr>
            <w:tcW w:w="5040" w:type="dxa"/>
          </w:tcPr>
          <w:p w14:paraId="335CB085" w14:textId="77777777" w:rsidR="00670C79" w:rsidRPr="00520BE3" w:rsidRDefault="00670C79" w:rsidP="006A5A1B">
            <w:pPr>
              <w:jc w:val="both"/>
            </w:pPr>
            <w:r w:rsidRPr="00520BE3">
              <w:t xml:space="preserve">1.Informaţii privind procesul de consultare cu </w:t>
            </w:r>
            <w:proofErr w:type="spellStart"/>
            <w:r w:rsidRPr="00520BE3">
              <w:t>organizaţii</w:t>
            </w:r>
            <w:proofErr w:type="spellEnd"/>
            <w:r w:rsidRPr="00520BE3">
              <w:t xml:space="preserve"> neguvernamentale, instituite de cercetare şi alte organisme implicate</w:t>
            </w:r>
          </w:p>
        </w:tc>
        <w:tc>
          <w:tcPr>
            <w:tcW w:w="5220" w:type="dxa"/>
          </w:tcPr>
          <w:p w14:paraId="05ECBB28" w14:textId="3AFFBCD4" w:rsidR="00670C79" w:rsidRPr="00520BE3" w:rsidRDefault="00670C79" w:rsidP="006A5A1B">
            <w:pPr>
              <w:jc w:val="both"/>
            </w:pPr>
            <w:r w:rsidRPr="00520BE3">
              <w:t xml:space="preserve"> </w:t>
            </w:r>
            <w:r w:rsidR="003E080A" w:rsidRPr="00520BE3">
              <w:t>Proiectul de act normativ nu se referă la acest subiect.</w:t>
            </w:r>
          </w:p>
        </w:tc>
      </w:tr>
      <w:tr w:rsidR="00520BE3" w:rsidRPr="00520BE3" w14:paraId="16D0661E" w14:textId="77777777" w:rsidTr="006A5A1B">
        <w:tc>
          <w:tcPr>
            <w:tcW w:w="5040" w:type="dxa"/>
          </w:tcPr>
          <w:p w14:paraId="297F37E9" w14:textId="77777777" w:rsidR="00670C79" w:rsidRPr="00520BE3" w:rsidRDefault="00670C79" w:rsidP="006A5A1B">
            <w:pPr>
              <w:jc w:val="both"/>
            </w:pPr>
            <w:r w:rsidRPr="00520BE3">
              <w:t xml:space="preserve">2.Fundamentarea alegerii </w:t>
            </w:r>
            <w:proofErr w:type="spellStart"/>
            <w:r w:rsidRPr="00520BE3">
              <w:t>organizaţiilor</w:t>
            </w:r>
            <w:proofErr w:type="spellEnd"/>
            <w:r w:rsidRPr="00520BE3">
              <w:t xml:space="preserve"> cu care a avut loc consultarea, precum şi a modului în care activitatea acestor </w:t>
            </w:r>
            <w:proofErr w:type="spellStart"/>
            <w:r w:rsidRPr="00520BE3">
              <w:t>organizaţii</w:t>
            </w:r>
            <w:proofErr w:type="spellEnd"/>
            <w:r w:rsidRPr="00520BE3">
              <w:t xml:space="preserve"> este legată de obiectivul proiectului de act normativ</w:t>
            </w:r>
          </w:p>
        </w:tc>
        <w:tc>
          <w:tcPr>
            <w:tcW w:w="5220" w:type="dxa"/>
            <w:vAlign w:val="center"/>
          </w:tcPr>
          <w:p w14:paraId="10909C7F" w14:textId="77777777" w:rsidR="00670C79" w:rsidRPr="00520BE3" w:rsidRDefault="00670C79" w:rsidP="002E3AFC">
            <w:pPr>
              <w:spacing w:line="360" w:lineRule="auto"/>
              <w:jc w:val="both"/>
            </w:pPr>
            <w:r w:rsidRPr="00520BE3">
              <w:t>Proiectul de act normativ nu se referă la acest subiect.</w:t>
            </w:r>
          </w:p>
        </w:tc>
      </w:tr>
      <w:tr w:rsidR="00520BE3" w:rsidRPr="00520BE3" w14:paraId="19A2A59D" w14:textId="77777777" w:rsidTr="006A5A1B">
        <w:tc>
          <w:tcPr>
            <w:tcW w:w="5040" w:type="dxa"/>
          </w:tcPr>
          <w:p w14:paraId="53EA464B" w14:textId="77777777" w:rsidR="00670C79" w:rsidRPr="00520BE3" w:rsidRDefault="00670C79" w:rsidP="006A5A1B">
            <w:pPr>
              <w:jc w:val="both"/>
            </w:pPr>
            <w:r w:rsidRPr="00520BE3">
              <w:t xml:space="preserve">3.Consultările organizate cu </w:t>
            </w:r>
            <w:proofErr w:type="spellStart"/>
            <w:r w:rsidRPr="00520BE3">
              <w:t>autorităţile</w:t>
            </w:r>
            <w:proofErr w:type="spellEnd"/>
            <w:r w:rsidRPr="00520BE3">
              <w:t xml:space="preserve"> </w:t>
            </w:r>
            <w:proofErr w:type="spellStart"/>
            <w:r w:rsidRPr="00520BE3">
              <w:t>administraţiei</w:t>
            </w:r>
            <w:proofErr w:type="spellEnd"/>
            <w:r w:rsidRPr="00520BE3">
              <w:t xml:space="preserve"> publice locale, în </w:t>
            </w:r>
            <w:proofErr w:type="spellStart"/>
            <w:r w:rsidRPr="00520BE3">
              <w:t>situaţia</w:t>
            </w:r>
            <w:proofErr w:type="spellEnd"/>
            <w:r w:rsidRPr="00520BE3">
              <w:t xml:space="preserve"> în care proiectul de act normativ are ca obiect </w:t>
            </w:r>
            <w:proofErr w:type="spellStart"/>
            <w:r w:rsidRPr="00520BE3">
              <w:t>activităţi</w:t>
            </w:r>
            <w:proofErr w:type="spellEnd"/>
            <w:r w:rsidRPr="00520BE3">
              <w:t xml:space="preserve"> ale acestor </w:t>
            </w:r>
            <w:proofErr w:type="spellStart"/>
            <w:r w:rsidRPr="00520BE3">
              <w:t>autorităţi</w:t>
            </w:r>
            <w:proofErr w:type="spellEnd"/>
            <w:r w:rsidRPr="00520BE3">
              <w:t xml:space="preserve">, în </w:t>
            </w:r>
            <w:proofErr w:type="spellStart"/>
            <w:r w:rsidRPr="00520BE3">
              <w:t>condiţiile</w:t>
            </w:r>
            <w:proofErr w:type="spellEnd"/>
            <w:r w:rsidRPr="00520BE3">
              <w:t xml:space="preserve"> Hotărârii Guvernului nr. 521/2005 privind procedura de consultare a structurilor asociative ale </w:t>
            </w:r>
            <w:proofErr w:type="spellStart"/>
            <w:r w:rsidRPr="00520BE3">
              <w:t>autorităţilor</w:t>
            </w:r>
            <w:proofErr w:type="spellEnd"/>
            <w:r w:rsidRPr="00520BE3">
              <w:t xml:space="preserve"> </w:t>
            </w:r>
            <w:proofErr w:type="spellStart"/>
            <w:r w:rsidRPr="00520BE3">
              <w:t>administraţiei</w:t>
            </w:r>
            <w:proofErr w:type="spellEnd"/>
            <w:r w:rsidRPr="00520BE3">
              <w:t xml:space="preserve"> publice locale la elaborarea proiectelor de acte normative</w:t>
            </w:r>
          </w:p>
        </w:tc>
        <w:tc>
          <w:tcPr>
            <w:tcW w:w="5220" w:type="dxa"/>
            <w:vAlign w:val="center"/>
          </w:tcPr>
          <w:p w14:paraId="5D978A54" w14:textId="134DC75D" w:rsidR="00670C79" w:rsidRPr="00520BE3" w:rsidRDefault="004D210B" w:rsidP="006A5A1B">
            <w:pPr>
              <w:jc w:val="both"/>
            </w:pPr>
            <w:r>
              <w:t xml:space="preserve"> </w:t>
            </w:r>
            <w:r w:rsidRPr="004D210B">
              <w:t xml:space="preserve">A fost realizată procedura de consultare în conformitate cu prevederile Ordonanței de urgență a Guvernului nr. 57/2019 privind Codul administrativ, cu completările ulterioare, precum și ale Hotărârii Guvernului nr. 521/2005 privind procedura de consultare a structurilor asociative ale </w:t>
            </w:r>
            <w:proofErr w:type="spellStart"/>
            <w:r w:rsidRPr="004D210B">
              <w:t>autorităţilor</w:t>
            </w:r>
            <w:proofErr w:type="spellEnd"/>
            <w:r w:rsidRPr="004D210B">
              <w:t xml:space="preserve"> </w:t>
            </w:r>
            <w:proofErr w:type="spellStart"/>
            <w:r w:rsidRPr="004D210B">
              <w:t>administraţiei</w:t>
            </w:r>
            <w:proofErr w:type="spellEnd"/>
            <w:r w:rsidRPr="004D210B">
              <w:t xml:space="preserve"> publice locale la elaborarea proiectelor de acte normative.</w:t>
            </w:r>
          </w:p>
        </w:tc>
      </w:tr>
      <w:tr w:rsidR="00520BE3" w:rsidRPr="00520BE3" w14:paraId="0D4EB37E" w14:textId="77777777" w:rsidTr="006A5A1B">
        <w:tc>
          <w:tcPr>
            <w:tcW w:w="5040" w:type="dxa"/>
          </w:tcPr>
          <w:p w14:paraId="0FB83D7F" w14:textId="77777777" w:rsidR="00670C79" w:rsidRPr="00520BE3" w:rsidRDefault="00670C79" w:rsidP="00E20EAD">
            <w:pPr>
              <w:jc w:val="both"/>
            </w:pPr>
            <w:r w:rsidRPr="00520BE3">
              <w:t xml:space="preserve">4.Consultările </w:t>
            </w:r>
            <w:proofErr w:type="spellStart"/>
            <w:r w:rsidRPr="00520BE3">
              <w:t>desfăşurate</w:t>
            </w:r>
            <w:proofErr w:type="spellEnd"/>
            <w:r w:rsidRPr="00520BE3">
              <w:t xml:space="preserve"> în cadrul consiliilor interministeriale, în conformitate cu prevederile Hotărârii Guvernului nr. 750/2005 privind constituirea consiliilor interministeriale permanente</w:t>
            </w:r>
          </w:p>
        </w:tc>
        <w:tc>
          <w:tcPr>
            <w:tcW w:w="5220" w:type="dxa"/>
            <w:vAlign w:val="center"/>
          </w:tcPr>
          <w:p w14:paraId="2A1BF33A" w14:textId="77777777" w:rsidR="00670C79" w:rsidRPr="00520BE3" w:rsidRDefault="00670C79" w:rsidP="006A5A1B">
            <w:pPr>
              <w:jc w:val="both"/>
            </w:pPr>
            <w:r w:rsidRPr="00520BE3">
              <w:t>Proiectul de act normativ nu se referă la acest subiect.</w:t>
            </w:r>
          </w:p>
        </w:tc>
      </w:tr>
      <w:tr w:rsidR="00520BE3" w:rsidRPr="00520BE3" w14:paraId="5B65EE0A" w14:textId="77777777" w:rsidTr="006A5A1B">
        <w:tc>
          <w:tcPr>
            <w:tcW w:w="5040" w:type="dxa"/>
          </w:tcPr>
          <w:p w14:paraId="1F489DD3" w14:textId="77777777" w:rsidR="00670C79" w:rsidRPr="00520BE3" w:rsidRDefault="00670C79" w:rsidP="006A5A1B">
            <w:r w:rsidRPr="00520BE3">
              <w:t>5.Informaţii privind avizarea de către:</w:t>
            </w:r>
          </w:p>
          <w:p w14:paraId="3FDB7235" w14:textId="77777777" w:rsidR="00670C79" w:rsidRPr="00520BE3" w:rsidRDefault="00670C79" w:rsidP="006A5A1B">
            <w:r w:rsidRPr="00520BE3">
              <w:t>a) Consiliul legislativ</w:t>
            </w:r>
          </w:p>
          <w:p w14:paraId="60B92AD3" w14:textId="77777777" w:rsidR="00670C79" w:rsidRPr="00520BE3" w:rsidRDefault="00670C79" w:rsidP="006A5A1B">
            <w:r w:rsidRPr="00520BE3">
              <w:t xml:space="preserve">b)Consiliul Suprem de Apărare a </w:t>
            </w:r>
            <w:proofErr w:type="spellStart"/>
            <w:r w:rsidRPr="00520BE3">
              <w:t>Ţării</w:t>
            </w:r>
            <w:proofErr w:type="spellEnd"/>
          </w:p>
          <w:p w14:paraId="3AACDD1C" w14:textId="77777777" w:rsidR="00670C79" w:rsidRPr="00520BE3" w:rsidRDefault="00670C79" w:rsidP="006A5A1B">
            <w:r w:rsidRPr="00520BE3">
              <w:t>c)Consiliul Economic şi Social</w:t>
            </w:r>
          </w:p>
          <w:p w14:paraId="14AB49B3" w14:textId="77777777" w:rsidR="00670C79" w:rsidRPr="00520BE3" w:rsidRDefault="00670C79" w:rsidP="006A5A1B">
            <w:r w:rsidRPr="00520BE3">
              <w:t xml:space="preserve">d)Consiliul </w:t>
            </w:r>
            <w:proofErr w:type="spellStart"/>
            <w:r w:rsidRPr="00520BE3">
              <w:t>Concurenţei</w:t>
            </w:r>
            <w:proofErr w:type="spellEnd"/>
            <w:r w:rsidRPr="00520BE3">
              <w:t xml:space="preserve"> </w:t>
            </w:r>
          </w:p>
          <w:p w14:paraId="0A37194B" w14:textId="77777777" w:rsidR="00670C79" w:rsidRPr="00520BE3" w:rsidRDefault="00670C79" w:rsidP="006A5A1B">
            <w:r w:rsidRPr="00520BE3">
              <w:t>e)Curtea de Conturi</w:t>
            </w:r>
          </w:p>
        </w:tc>
        <w:tc>
          <w:tcPr>
            <w:tcW w:w="5220" w:type="dxa"/>
            <w:vAlign w:val="center"/>
          </w:tcPr>
          <w:p w14:paraId="3443A699" w14:textId="13987EBB" w:rsidR="004B13DF" w:rsidRPr="00520BE3" w:rsidRDefault="004B13DF" w:rsidP="004B13DF">
            <w:pPr>
              <w:spacing w:line="276" w:lineRule="auto"/>
              <w:jc w:val="both"/>
            </w:pPr>
            <w:r w:rsidRPr="00520BE3">
              <w:t>Prezentul proiect de act normativ este supus avizării Consiliului Legislativ</w:t>
            </w:r>
            <w:r w:rsidR="004D210B">
              <w:t xml:space="preserve"> și s-a solicitat punctul de vedere al</w:t>
            </w:r>
            <w:r w:rsidR="00EE79AE">
              <w:t xml:space="preserve"> </w:t>
            </w:r>
            <w:r w:rsidRPr="00520BE3">
              <w:t>Cur</w:t>
            </w:r>
            <w:r w:rsidR="004D210B">
              <w:t>ții</w:t>
            </w:r>
            <w:r w:rsidRPr="00520BE3">
              <w:t xml:space="preserve"> de Conturi</w:t>
            </w:r>
            <w:r w:rsidR="00EE79AE">
              <w:t>, al</w:t>
            </w:r>
            <w:r w:rsidRPr="00520BE3">
              <w:t xml:space="preserve"> Autorit</w:t>
            </w:r>
            <w:r w:rsidR="00EE79AE">
              <w:t>ății</w:t>
            </w:r>
            <w:r w:rsidRPr="00520BE3">
              <w:t xml:space="preserve"> de Audit din cadrul Curții de Conturi a României</w:t>
            </w:r>
            <w:r w:rsidR="002337CA">
              <w:t xml:space="preserve"> și </w:t>
            </w:r>
            <w:r w:rsidR="00EE79AE">
              <w:t xml:space="preserve">al </w:t>
            </w:r>
            <w:r w:rsidR="002337CA">
              <w:t>Consiliul</w:t>
            </w:r>
            <w:r w:rsidR="00EE79AE">
              <w:t>ui</w:t>
            </w:r>
            <w:r w:rsidR="002337CA">
              <w:t xml:space="preserve"> Concurenței.</w:t>
            </w:r>
          </w:p>
          <w:p w14:paraId="7ED20DBC" w14:textId="1530D1D5" w:rsidR="00670C79" w:rsidRPr="00520BE3" w:rsidRDefault="00670C79" w:rsidP="002E3AFC">
            <w:pPr>
              <w:jc w:val="both"/>
            </w:pPr>
          </w:p>
        </w:tc>
      </w:tr>
      <w:tr w:rsidR="006449AD" w:rsidRPr="00520BE3" w14:paraId="4938D81B" w14:textId="77777777" w:rsidTr="006A5A1B">
        <w:tc>
          <w:tcPr>
            <w:tcW w:w="5040" w:type="dxa"/>
          </w:tcPr>
          <w:p w14:paraId="7069E280" w14:textId="77777777" w:rsidR="00670C79" w:rsidRPr="00520BE3" w:rsidRDefault="00670C79" w:rsidP="006A5A1B">
            <w:r w:rsidRPr="00520BE3">
              <w:t xml:space="preserve">6.Alte </w:t>
            </w:r>
            <w:proofErr w:type="spellStart"/>
            <w:r w:rsidRPr="00520BE3">
              <w:t>informaţii</w:t>
            </w:r>
            <w:proofErr w:type="spellEnd"/>
          </w:p>
        </w:tc>
        <w:tc>
          <w:tcPr>
            <w:tcW w:w="5220" w:type="dxa"/>
            <w:vAlign w:val="center"/>
          </w:tcPr>
          <w:p w14:paraId="292345C8" w14:textId="77777777" w:rsidR="00670C79" w:rsidRPr="00520BE3" w:rsidRDefault="00670C79" w:rsidP="006A5A1B">
            <w:pPr>
              <w:spacing w:line="360" w:lineRule="auto"/>
              <w:jc w:val="both"/>
            </w:pPr>
            <w:r w:rsidRPr="00520BE3">
              <w:t>Nu au fost identificate.</w:t>
            </w:r>
          </w:p>
        </w:tc>
      </w:tr>
    </w:tbl>
    <w:p w14:paraId="0E07B6FE" w14:textId="77777777" w:rsidR="001F733F" w:rsidRPr="00520BE3" w:rsidRDefault="001F733F" w:rsidP="00670C79">
      <w:pPr>
        <w:pStyle w:val="Indentcorptext2"/>
        <w:spacing w:line="240" w:lineRule="auto"/>
        <w:ind w:left="180" w:right="98" w:firstLine="0"/>
        <w:jc w:val="both"/>
        <w:rPr>
          <w:bCs w:val="0"/>
          <w:sz w:val="24"/>
        </w:rPr>
      </w:pPr>
    </w:p>
    <w:p w14:paraId="24C76478" w14:textId="77777777" w:rsidR="00670C79" w:rsidRPr="00520BE3" w:rsidRDefault="00670C79" w:rsidP="00670C79">
      <w:pPr>
        <w:pStyle w:val="Indentcorptext2"/>
        <w:spacing w:line="240" w:lineRule="auto"/>
        <w:ind w:left="180" w:right="98" w:firstLine="0"/>
        <w:jc w:val="both"/>
        <w:rPr>
          <w:bCs w:val="0"/>
          <w:sz w:val="24"/>
        </w:rPr>
      </w:pPr>
      <w:proofErr w:type="spellStart"/>
      <w:r w:rsidRPr="00520BE3">
        <w:rPr>
          <w:bCs w:val="0"/>
          <w:sz w:val="24"/>
        </w:rPr>
        <w:t>Secţiunea</w:t>
      </w:r>
      <w:proofErr w:type="spellEnd"/>
      <w:r w:rsidRPr="00520BE3">
        <w:rPr>
          <w:bCs w:val="0"/>
          <w:sz w:val="24"/>
        </w:rPr>
        <w:t xml:space="preserve"> a 7-a  </w:t>
      </w:r>
      <w:proofErr w:type="spellStart"/>
      <w:r w:rsidRPr="00520BE3">
        <w:rPr>
          <w:bCs w:val="0"/>
          <w:sz w:val="24"/>
        </w:rPr>
        <w:t>Activităţi</w:t>
      </w:r>
      <w:proofErr w:type="spellEnd"/>
      <w:r w:rsidRPr="00520BE3">
        <w:rPr>
          <w:bCs w:val="0"/>
          <w:sz w:val="24"/>
        </w:rPr>
        <w:t xml:space="preserve"> de informare publică privind elaborarea şi implementarea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4"/>
        <w:gridCol w:w="6316"/>
      </w:tblGrid>
      <w:tr w:rsidR="00520BE3" w:rsidRPr="00520BE3" w14:paraId="732E424B" w14:textId="77777777" w:rsidTr="00E20EAD">
        <w:tc>
          <w:tcPr>
            <w:tcW w:w="3931" w:type="dxa"/>
          </w:tcPr>
          <w:p w14:paraId="10660F36" w14:textId="77777777" w:rsidR="00670C79" w:rsidRPr="00520BE3" w:rsidRDefault="00670C79" w:rsidP="00E20EAD">
            <w:pPr>
              <w:jc w:val="both"/>
            </w:pPr>
            <w:r w:rsidRPr="00520BE3">
              <w:t xml:space="preserve">1.Informarea </w:t>
            </w:r>
            <w:proofErr w:type="spellStart"/>
            <w:r w:rsidRPr="00520BE3">
              <w:t>societăţii</w:t>
            </w:r>
            <w:proofErr w:type="spellEnd"/>
            <w:r w:rsidRPr="00520BE3">
              <w:t xml:space="preserve"> civile cu privire la necesitatea elaborării proiectului de act normativ</w:t>
            </w:r>
          </w:p>
        </w:tc>
        <w:tc>
          <w:tcPr>
            <w:tcW w:w="6329" w:type="dxa"/>
          </w:tcPr>
          <w:p w14:paraId="36624643" w14:textId="6B22058B" w:rsidR="00670C79" w:rsidRPr="00520BE3" w:rsidRDefault="006B075E" w:rsidP="002E3AFC">
            <w:pPr>
              <w:jc w:val="both"/>
            </w:pPr>
            <w:r w:rsidRPr="00520BE3">
              <w:t>Prezentul proiect de act normativ respectă prevederile art. 7 alin. (13) din Legea nr. 52/2003 privind transparența decizională în administrația publică, republicată, și a fost publicat în dezbatere publică pe pagina de internet a Ministerului</w:t>
            </w:r>
            <w:r w:rsidR="00D501A1">
              <w:t xml:space="preserve"> Fondurilor Europene la data de 29.07.2020</w:t>
            </w:r>
            <w:bookmarkStart w:id="0" w:name="_GoBack"/>
            <w:bookmarkEnd w:id="0"/>
          </w:p>
        </w:tc>
      </w:tr>
      <w:tr w:rsidR="00520BE3" w:rsidRPr="00520BE3" w14:paraId="585061CE" w14:textId="77777777" w:rsidTr="00E20EAD">
        <w:tc>
          <w:tcPr>
            <w:tcW w:w="3931" w:type="dxa"/>
          </w:tcPr>
          <w:p w14:paraId="50B21BCD" w14:textId="77777777" w:rsidR="00670C79" w:rsidRPr="00520BE3" w:rsidRDefault="00670C79" w:rsidP="00E20EAD">
            <w:pPr>
              <w:jc w:val="both"/>
            </w:pPr>
            <w:r w:rsidRPr="00520BE3">
              <w:lastRenderedPageBreak/>
              <w:t xml:space="preserve">2.Informarea </w:t>
            </w:r>
            <w:proofErr w:type="spellStart"/>
            <w:r w:rsidRPr="00520BE3">
              <w:t>societăţii</w:t>
            </w:r>
            <w:proofErr w:type="spellEnd"/>
            <w:r w:rsidRPr="00520BE3">
              <w:t xml:space="preserve"> civile cu privire la eventualul impact asupra mediului în urma implementării proiectului de act normativ, precum şi efectele asupra </w:t>
            </w:r>
            <w:proofErr w:type="spellStart"/>
            <w:r w:rsidRPr="00520BE3">
              <w:t>sănătăţii</w:t>
            </w:r>
            <w:proofErr w:type="spellEnd"/>
            <w:r w:rsidRPr="00520BE3">
              <w:t xml:space="preserve"> şi </w:t>
            </w:r>
            <w:proofErr w:type="spellStart"/>
            <w:r w:rsidRPr="00520BE3">
              <w:t>securităţii</w:t>
            </w:r>
            <w:proofErr w:type="spellEnd"/>
            <w:r w:rsidRPr="00520BE3">
              <w:t xml:space="preserve"> </w:t>
            </w:r>
            <w:proofErr w:type="spellStart"/>
            <w:r w:rsidRPr="00520BE3">
              <w:t>cetăţeanului</w:t>
            </w:r>
            <w:proofErr w:type="spellEnd"/>
            <w:r w:rsidRPr="00520BE3">
              <w:t xml:space="preserve"> sau </w:t>
            </w:r>
            <w:proofErr w:type="spellStart"/>
            <w:r w:rsidRPr="00520BE3">
              <w:t>diversităţii</w:t>
            </w:r>
            <w:proofErr w:type="spellEnd"/>
            <w:r w:rsidRPr="00520BE3">
              <w:t xml:space="preserve"> biologice</w:t>
            </w:r>
          </w:p>
        </w:tc>
        <w:tc>
          <w:tcPr>
            <w:tcW w:w="6329" w:type="dxa"/>
          </w:tcPr>
          <w:p w14:paraId="5BE15852" w14:textId="77777777" w:rsidR="00670C79" w:rsidRPr="00520BE3" w:rsidRDefault="00670C79" w:rsidP="006A5A1B">
            <w:pPr>
              <w:jc w:val="both"/>
            </w:pPr>
          </w:p>
          <w:p w14:paraId="6F061B40" w14:textId="77777777" w:rsidR="00670C79" w:rsidRPr="00520BE3" w:rsidRDefault="00670C79" w:rsidP="006A5A1B">
            <w:pPr>
              <w:jc w:val="both"/>
            </w:pPr>
            <w:r w:rsidRPr="00520BE3">
              <w:t>Proiectul de act normativ nu se referă la acest subiect.</w:t>
            </w:r>
          </w:p>
        </w:tc>
      </w:tr>
      <w:tr w:rsidR="00520BE3" w:rsidRPr="00520BE3" w14:paraId="6330D92F" w14:textId="77777777" w:rsidTr="00E20EAD">
        <w:tc>
          <w:tcPr>
            <w:tcW w:w="3931" w:type="dxa"/>
          </w:tcPr>
          <w:p w14:paraId="1EC509E8" w14:textId="77777777" w:rsidR="00670C79" w:rsidRPr="00520BE3" w:rsidRDefault="00670C79" w:rsidP="006A5A1B">
            <w:r w:rsidRPr="00520BE3">
              <w:t xml:space="preserve">3. Alte </w:t>
            </w:r>
            <w:proofErr w:type="spellStart"/>
            <w:r w:rsidRPr="00520BE3">
              <w:t>informaţii</w:t>
            </w:r>
            <w:proofErr w:type="spellEnd"/>
          </w:p>
        </w:tc>
        <w:tc>
          <w:tcPr>
            <w:tcW w:w="6329" w:type="dxa"/>
            <w:vAlign w:val="center"/>
          </w:tcPr>
          <w:p w14:paraId="0819DC9B" w14:textId="00466D68" w:rsidR="00454D72" w:rsidRPr="00520BE3" w:rsidRDefault="00670C79" w:rsidP="00FB1A1C">
            <w:pPr>
              <w:jc w:val="both"/>
            </w:pPr>
            <w:r w:rsidRPr="00520BE3">
              <w:t>Nu au fost identificate.</w:t>
            </w:r>
          </w:p>
        </w:tc>
      </w:tr>
    </w:tbl>
    <w:p w14:paraId="3FBCA191" w14:textId="77777777" w:rsidR="00670C79" w:rsidRPr="00520BE3" w:rsidRDefault="00670C79" w:rsidP="00670C79">
      <w:pPr>
        <w:ind w:left="180"/>
        <w:rPr>
          <w:b/>
        </w:rPr>
      </w:pPr>
      <w:proofErr w:type="spellStart"/>
      <w:r w:rsidRPr="00520BE3">
        <w:rPr>
          <w:b/>
        </w:rPr>
        <w:t>Secţiunea</w:t>
      </w:r>
      <w:proofErr w:type="spellEnd"/>
      <w:r w:rsidRPr="00520BE3">
        <w:rPr>
          <w:b/>
        </w:rPr>
        <w:t xml:space="preserve"> a 8- a. Măsuri de implementare</w:t>
      </w: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520BE3" w:rsidRPr="00520BE3" w14:paraId="5DF118D5" w14:textId="77777777" w:rsidTr="00E20EAD">
        <w:tc>
          <w:tcPr>
            <w:tcW w:w="3931" w:type="dxa"/>
          </w:tcPr>
          <w:p w14:paraId="428F02E7" w14:textId="397BA6B3" w:rsidR="00575BCE" w:rsidRPr="00520BE3" w:rsidRDefault="00670C79" w:rsidP="005C5DD4">
            <w:pPr>
              <w:jc w:val="both"/>
            </w:pPr>
            <w:r w:rsidRPr="00520BE3">
              <w:t xml:space="preserve">1. Măsuri de punere în aplicare a proiectului de act normativ de către </w:t>
            </w:r>
            <w:proofErr w:type="spellStart"/>
            <w:r w:rsidRPr="00520BE3">
              <w:t>autorităţile</w:t>
            </w:r>
            <w:proofErr w:type="spellEnd"/>
            <w:r w:rsidRPr="00520BE3">
              <w:t xml:space="preserve"> administrative publice centrale şi/sau locale-</w:t>
            </w:r>
            <w:proofErr w:type="spellStart"/>
            <w:r w:rsidRPr="00520BE3">
              <w:t>înfiinţarea</w:t>
            </w:r>
            <w:proofErr w:type="spellEnd"/>
            <w:r w:rsidRPr="00520BE3">
              <w:t xml:space="preserve"> sau extinderea </w:t>
            </w:r>
            <w:proofErr w:type="spellStart"/>
            <w:r w:rsidRPr="00520BE3">
              <w:t>competenţei</w:t>
            </w:r>
            <w:proofErr w:type="spellEnd"/>
            <w:r w:rsidRPr="00520BE3">
              <w:t xml:space="preserve"> </w:t>
            </w:r>
            <w:proofErr w:type="spellStart"/>
            <w:r w:rsidRPr="00520BE3">
              <w:t>instituţiilor</w:t>
            </w:r>
            <w:proofErr w:type="spellEnd"/>
            <w:r w:rsidRPr="00520BE3">
              <w:t xml:space="preserve"> existente</w:t>
            </w:r>
          </w:p>
        </w:tc>
        <w:tc>
          <w:tcPr>
            <w:tcW w:w="6329" w:type="dxa"/>
            <w:vAlign w:val="center"/>
          </w:tcPr>
          <w:p w14:paraId="036F3FD9" w14:textId="77777777" w:rsidR="00670C79" w:rsidRPr="00520BE3" w:rsidRDefault="00670C79" w:rsidP="006A5A1B">
            <w:pPr>
              <w:pStyle w:val="Titlu1"/>
              <w:jc w:val="both"/>
              <w:rPr>
                <w:sz w:val="24"/>
              </w:rPr>
            </w:pPr>
            <w:r w:rsidRPr="00520BE3">
              <w:rPr>
                <w:sz w:val="24"/>
              </w:rPr>
              <w:t>Proiectul de act normativ nu se referă la acest subiect.</w:t>
            </w:r>
          </w:p>
        </w:tc>
      </w:tr>
      <w:tr w:rsidR="00520BE3" w:rsidRPr="00520BE3" w14:paraId="527F2573" w14:textId="77777777" w:rsidTr="00E20EAD">
        <w:tc>
          <w:tcPr>
            <w:tcW w:w="3931" w:type="dxa"/>
          </w:tcPr>
          <w:p w14:paraId="05529BA5" w14:textId="77777777" w:rsidR="00670C79" w:rsidRPr="00520BE3" w:rsidRDefault="00670C79" w:rsidP="006A5A1B">
            <w:pPr>
              <w:jc w:val="both"/>
            </w:pPr>
            <w:r w:rsidRPr="00520BE3">
              <w:t xml:space="preserve">2. Alte </w:t>
            </w:r>
            <w:proofErr w:type="spellStart"/>
            <w:r w:rsidRPr="00520BE3">
              <w:t>informaţii</w:t>
            </w:r>
            <w:proofErr w:type="spellEnd"/>
          </w:p>
        </w:tc>
        <w:tc>
          <w:tcPr>
            <w:tcW w:w="6329" w:type="dxa"/>
            <w:vAlign w:val="center"/>
          </w:tcPr>
          <w:p w14:paraId="42D9A49F" w14:textId="77777777" w:rsidR="00670C79" w:rsidRPr="00520BE3" w:rsidRDefault="00670C79" w:rsidP="006A5A1B">
            <w:pPr>
              <w:jc w:val="both"/>
            </w:pPr>
            <w:r w:rsidRPr="00520BE3">
              <w:t>Nu au fost identificate.</w:t>
            </w:r>
          </w:p>
          <w:p w14:paraId="4D29AA82" w14:textId="77777777" w:rsidR="00575BCE" w:rsidRPr="00520BE3" w:rsidRDefault="00575BCE" w:rsidP="006A5A1B">
            <w:pPr>
              <w:jc w:val="both"/>
            </w:pPr>
          </w:p>
        </w:tc>
      </w:tr>
    </w:tbl>
    <w:p w14:paraId="7DE1272F" w14:textId="77777777" w:rsidR="006813E4" w:rsidRDefault="006813E4" w:rsidP="00E07299">
      <w:pPr>
        <w:widowControl w:val="0"/>
        <w:spacing w:line="276" w:lineRule="auto"/>
        <w:jc w:val="both"/>
      </w:pPr>
    </w:p>
    <w:p w14:paraId="13187907" w14:textId="2CE7CC53" w:rsidR="006813E4" w:rsidRDefault="006813E4">
      <w:pPr>
        <w:spacing w:after="160" w:line="259" w:lineRule="auto"/>
      </w:pPr>
    </w:p>
    <w:p w14:paraId="57826EB2" w14:textId="77777777" w:rsidR="00381090" w:rsidRDefault="00381090">
      <w:pPr>
        <w:spacing w:after="160" w:line="259" w:lineRule="auto"/>
      </w:pPr>
      <w:r>
        <w:br w:type="page"/>
      </w:r>
    </w:p>
    <w:p w14:paraId="04ED1DF1" w14:textId="62F01B52" w:rsidR="006B075E" w:rsidRDefault="00670C79" w:rsidP="00E07299">
      <w:pPr>
        <w:widowControl w:val="0"/>
        <w:spacing w:line="276" w:lineRule="auto"/>
        <w:jc w:val="both"/>
      </w:pPr>
      <w:proofErr w:type="spellStart"/>
      <w:r w:rsidRPr="00520BE3">
        <w:lastRenderedPageBreak/>
        <w:t>Faţă</w:t>
      </w:r>
      <w:proofErr w:type="spellEnd"/>
      <w:r w:rsidRPr="00520BE3">
        <w:t xml:space="preserve"> de cele prezentate mai sus, a fost promovat prezentul proiect </w:t>
      </w:r>
      <w:r w:rsidRPr="00DC663A">
        <w:t xml:space="preserve">de </w:t>
      </w:r>
      <w:proofErr w:type="spellStart"/>
      <w:r w:rsidR="00365A86">
        <w:rPr>
          <w:b/>
          <w:lang w:eastAsia="ro-RO"/>
        </w:rPr>
        <w:t>Ordonanţă</w:t>
      </w:r>
      <w:proofErr w:type="spellEnd"/>
      <w:r w:rsidR="00365A86">
        <w:rPr>
          <w:b/>
          <w:lang w:eastAsia="ro-RO"/>
        </w:rPr>
        <w:t xml:space="preserve"> de urgenţă </w:t>
      </w:r>
      <w:r w:rsidR="005E318B" w:rsidRPr="005E318B">
        <w:rPr>
          <w:b/>
          <w:lang w:eastAsia="ro-RO"/>
        </w:rPr>
        <w:t>pentru modificarea și completarea unor acte normative de reglementare a fluxurilor fina</w:t>
      </w:r>
      <w:r w:rsidR="005E318B">
        <w:rPr>
          <w:b/>
          <w:lang w:eastAsia="ro-RO"/>
        </w:rPr>
        <w:t>n</w:t>
      </w:r>
      <w:r w:rsidR="005E318B" w:rsidRPr="005E318B">
        <w:rPr>
          <w:b/>
          <w:lang w:eastAsia="ro-RO"/>
        </w:rPr>
        <w:t xml:space="preserve">ciare </w:t>
      </w:r>
      <w:r w:rsidR="005E318B">
        <w:rPr>
          <w:b/>
          <w:lang w:eastAsia="ro-RO"/>
        </w:rPr>
        <w:t xml:space="preserve">în domeniul fondurilor europene </w:t>
      </w:r>
      <w:r w:rsidR="00E07299" w:rsidRPr="00520BE3">
        <w:t>care</w:t>
      </w:r>
      <w:r w:rsidRPr="00520BE3">
        <w:t xml:space="preserve"> în forma prezentată, a fost avizat de </w:t>
      </w:r>
      <w:r w:rsidR="008752C0" w:rsidRPr="00520BE3">
        <w:t xml:space="preserve">Consiliul Legislativ, precum şi de către </w:t>
      </w:r>
      <w:r w:rsidRPr="00520BE3">
        <w:t>ministerele interesate şi pe care îl supunem adoptării.</w:t>
      </w:r>
    </w:p>
    <w:p w14:paraId="3054FE2B" w14:textId="47A7883E" w:rsidR="008C471E" w:rsidRDefault="008C471E" w:rsidP="00E07299">
      <w:pPr>
        <w:widowControl w:val="0"/>
        <w:spacing w:line="276" w:lineRule="auto"/>
        <w:jc w:val="both"/>
        <w:rPr>
          <w:b/>
          <w:lang w:eastAsia="ro-RO"/>
        </w:rPr>
      </w:pPr>
    </w:p>
    <w:p w14:paraId="01229D73" w14:textId="77777777" w:rsidR="008C471E" w:rsidRPr="005E318B" w:rsidRDefault="008C471E" w:rsidP="00E07299">
      <w:pPr>
        <w:widowControl w:val="0"/>
        <w:spacing w:line="276" w:lineRule="auto"/>
        <w:jc w:val="both"/>
        <w:rPr>
          <w:b/>
          <w:lang w:eastAsia="ro-RO"/>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9"/>
        <w:gridCol w:w="3509"/>
        <w:gridCol w:w="3510"/>
      </w:tblGrid>
      <w:tr w:rsidR="008C471E" w:rsidRPr="008C471E" w14:paraId="0A365F3B" w14:textId="77777777" w:rsidTr="008C471E">
        <w:tc>
          <w:tcPr>
            <w:tcW w:w="3509" w:type="dxa"/>
          </w:tcPr>
          <w:p w14:paraId="7A60C5DC" w14:textId="0FAC272C" w:rsidR="008C471E" w:rsidRDefault="008C471E" w:rsidP="008C471E">
            <w:pPr>
              <w:jc w:val="center"/>
              <w:rPr>
                <w:b/>
                <w:bCs/>
              </w:rPr>
            </w:pPr>
            <w:r w:rsidRPr="005C5DD4">
              <w:rPr>
                <w:b/>
                <w:bCs/>
              </w:rPr>
              <w:t>MINISTRUL FONDURILOR EUROPENE</w:t>
            </w:r>
          </w:p>
          <w:p w14:paraId="5A6776AF" w14:textId="4E40FE27" w:rsidR="008C471E" w:rsidRDefault="008C471E" w:rsidP="008C471E">
            <w:pPr>
              <w:jc w:val="center"/>
              <w:rPr>
                <w:b/>
                <w:bCs/>
              </w:rPr>
            </w:pPr>
          </w:p>
          <w:p w14:paraId="2E62EB32" w14:textId="77777777" w:rsidR="008C471E" w:rsidRPr="005C5DD4" w:rsidRDefault="008C471E" w:rsidP="008C471E">
            <w:pPr>
              <w:jc w:val="center"/>
              <w:rPr>
                <w:b/>
                <w:bCs/>
              </w:rPr>
            </w:pPr>
          </w:p>
          <w:p w14:paraId="6D937976" w14:textId="77777777" w:rsidR="008C471E" w:rsidRPr="005C5DD4" w:rsidRDefault="008C471E" w:rsidP="008C471E">
            <w:pPr>
              <w:jc w:val="center"/>
              <w:rPr>
                <w:b/>
                <w:bCs/>
              </w:rPr>
            </w:pPr>
          </w:p>
          <w:p w14:paraId="4DA79D7A" w14:textId="77777777" w:rsidR="008C471E" w:rsidRPr="005C5DD4" w:rsidRDefault="008C471E" w:rsidP="008C471E">
            <w:pPr>
              <w:jc w:val="center"/>
              <w:rPr>
                <w:b/>
                <w:bCs/>
              </w:rPr>
            </w:pPr>
            <w:r w:rsidRPr="005C5DD4">
              <w:rPr>
                <w:b/>
                <w:bCs/>
              </w:rPr>
              <w:t xml:space="preserve">Ioan Marcel BOLOŞ </w:t>
            </w:r>
          </w:p>
          <w:p w14:paraId="5F247874" w14:textId="77777777" w:rsidR="008C471E" w:rsidRDefault="008C471E" w:rsidP="00565752">
            <w:pPr>
              <w:jc w:val="both"/>
              <w:rPr>
                <w:sz w:val="22"/>
                <w:szCs w:val="22"/>
              </w:rPr>
            </w:pPr>
          </w:p>
        </w:tc>
        <w:tc>
          <w:tcPr>
            <w:tcW w:w="3509" w:type="dxa"/>
          </w:tcPr>
          <w:p w14:paraId="0546892F" w14:textId="77777777" w:rsidR="008C471E" w:rsidRPr="005C5DD4" w:rsidRDefault="008C471E" w:rsidP="008C471E">
            <w:pPr>
              <w:jc w:val="center"/>
              <w:rPr>
                <w:b/>
                <w:bCs/>
              </w:rPr>
            </w:pPr>
            <w:r w:rsidRPr="005C5DD4">
              <w:rPr>
                <w:b/>
                <w:bCs/>
              </w:rPr>
              <w:t xml:space="preserve">MINISTRUL TRANSPORTURILOR, INFRASTRUCTURII </w:t>
            </w:r>
          </w:p>
          <w:p w14:paraId="7E09808D" w14:textId="77777777" w:rsidR="008C471E" w:rsidRPr="005C5DD4" w:rsidRDefault="008C471E" w:rsidP="008C471E">
            <w:pPr>
              <w:jc w:val="center"/>
              <w:rPr>
                <w:b/>
                <w:bCs/>
              </w:rPr>
            </w:pPr>
            <w:r w:rsidRPr="005C5DD4">
              <w:rPr>
                <w:b/>
                <w:bCs/>
              </w:rPr>
              <w:t>ȘI COMUNICAȚIILOR</w:t>
            </w:r>
          </w:p>
          <w:p w14:paraId="4D958F11" w14:textId="77777777" w:rsidR="008C471E" w:rsidRPr="005C5DD4" w:rsidRDefault="008C471E" w:rsidP="008C471E">
            <w:pPr>
              <w:jc w:val="center"/>
              <w:rPr>
                <w:b/>
                <w:bCs/>
              </w:rPr>
            </w:pPr>
          </w:p>
          <w:p w14:paraId="7D9E641A" w14:textId="77777777" w:rsidR="008C471E" w:rsidRPr="005C5DD4" w:rsidRDefault="008C471E" w:rsidP="008C471E">
            <w:pPr>
              <w:shd w:val="clear" w:color="auto" w:fill="FFFFFF"/>
              <w:jc w:val="center"/>
              <w:rPr>
                <w:b/>
                <w:bCs/>
              </w:rPr>
            </w:pPr>
            <w:r w:rsidRPr="005C5DD4">
              <w:rPr>
                <w:b/>
                <w:bCs/>
              </w:rPr>
              <w:t>Lucian Nicolae BODE</w:t>
            </w:r>
          </w:p>
          <w:p w14:paraId="152DF4CD" w14:textId="77777777" w:rsidR="008C471E" w:rsidRDefault="008C471E" w:rsidP="00565752">
            <w:pPr>
              <w:jc w:val="both"/>
              <w:rPr>
                <w:sz w:val="22"/>
                <w:szCs w:val="22"/>
              </w:rPr>
            </w:pPr>
          </w:p>
        </w:tc>
        <w:tc>
          <w:tcPr>
            <w:tcW w:w="3510" w:type="dxa"/>
          </w:tcPr>
          <w:p w14:paraId="3D180524" w14:textId="77777777" w:rsidR="008C471E" w:rsidRDefault="008C471E" w:rsidP="008C471E">
            <w:pPr>
              <w:jc w:val="center"/>
              <w:rPr>
                <w:b/>
                <w:bCs/>
              </w:rPr>
            </w:pPr>
            <w:r w:rsidRPr="008C471E">
              <w:rPr>
                <w:b/>
                <w:bCs/>
              </w:rPr>
              <w:t>MINISTRUL MUNCII ȘI PROTECȚIEI SOCIALE</w:t>
            </w:r>
          </w:p>
          <w:p w14:paraId="14B9BA3C" w14:textId="77777777" w:rsidR="008C471E" w:rsidRPr="008C471E" w:rsidRDefault="008C471E" w:rsidP="008C471E">
            <w:pPr>
              <w:jc w:val="center"/>
              <w:rPr>
                <w:b/>
                <w:bCs/>
              </w:rPr>
            </w:pPr>
          </w:p>
          <w:p w14:paraId="572C8607" w14:textId="77777777" w:rsidR="008C471E" w:rsidRPr="008C471E" w:rsidRDefault="008C471E" w:rsidP="008C471E">
            <w:pPr>
              <w:jc w:val="center"/>
              <w:rPr>
                <w:b/>
                <w:bCs/>
              </w:rPr>
            </w:pPr>
          </w:p>
          <w:p w14:paraId="4C2EEE41" w14:textId="77777777" w:rsidR="008C471E" w:rsidRPr="008C471E" w:rsidRDefault="008C471E" w:rsidP="008C471E">
            <w:pPr>
              <w:jc w:val="center"/>
              <w:rPr>
                <w:b/>
                <w:bCs/>
              </w:rPr>
            </w:pPr>
          </w:p>
          <w:p w14:paraId="1F152B99" w14:textId="1744D647" w:rsidR="008C471E" w:rsidRPr="008C471E" w:rsidRDefault="008C471E" w:rsidP="008C471E">
            <w:pPr>
              <w:jc w:val="center"/>
              <w:rPr>
                <w:b/>
                <w:bCs/>
              </w:rPr>
            </w:pPr>
            <w:r w:rsidRPr="008C471E">
              <w:rPr>
                <w:b/>
                <w:bCs/>
              </w:rPr>
              <w:t>Victoria Violeta ALEXANDRU</w:t>
            </w:r>
          </w:p>
        </w:tc>
      </w:tr>
    </w:tbl>
    <w:p w14:paraId="136FB310" w14:textId="77777777" w:rsidR="00DB19FF" w:rsidRDefault="00DB19FF" w:rsidP="00565752">
      <w:pPr>
        <w:jc w:val="both"/>
        <w:rPr>
          <w:sz w:val="22"/>
          <w:szCs w:val="22"/>
        </w:rPr>
      </w:pPr>
    </w:p>
    <w:p w14:paraId="0C53FECC" w14:textId="77777777" w:rsidR="00381090" w:rsidRDefault="00381090" w:rsidP="00565752">
      <w:pPr>
        <w:jc w:val="both"/>
        <w:rPr>
          <w:sz w:val="22"/>
          <w:szCs w:val="22"/>
        </w:rPr>
      </w:pPr>
    </w:p>
    <w:p w14:paraId="199332E3" w14:textId="77777777" w:rsidR="00EE79AE" w:rsidRPr="005C5DD4" w:rsidRDefault="00EE79AE" w:rsidP="00565752">
      <w:pPr>
        <w:jc w:val="both"/>
        <w:rPr>
          <w:sz w:val="22"/>
          <w:szCs w:val="22"/>
        </w:rPr>
      </w:pPr>
    </w:p>
    <w:p w14:paraId="5183F050" w14:textId="3A8A2AF7" w:rsidR="005D4F6E" w:rsidRPr="005C5DD4" w:rsidRDefault="005D4F6E" w:rsidP="00C9066A">
      <w:pPr>
        <w:spacing w:after="240"/>
        <w:ind w:left="720" w:hanging="720"/>
        <w:jc w:val="center"/>
        <w:rPr>
          <w:b/>
          <w:u w:val="single"/>
        </w:rPr>
      </w:pPr>
      <w:r w:rsidRPr="005C5DD4">
        <w:rPr>
          <w:b/>
          <w:u w:val="single"/>
        </w:rPr>
        <w:t>AVIZĂM FAVORABIL:</w:t>
      </w:r>
    </w:p>
    <w:tbl>
      <w:tblPr>
        <w:tblStyle w:val="Tabelgril"/>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0"/>
        <w:gridCol w:w="5034"/>
      </w:tblGrid>
      <w:tr w:rsidR="005C5DD4" w:rsidRPr="005C5DD4" w14:paraId="67DCF2F2" w14:textId="77777777" w:rsidTr="005C5DD4">
        <w:trPr>
          <w:trHeight w:val="1394"/>
        </w:trPr>
        <w:tc>
          <w:tcPr>
            <w:tcW w:w="5069" w:type="dxa"/>
          </w:tcPr>
          <w:p w14:paraId="35F5F67E" w14:textId="77777777" w:rsidR="005C5DD4" w:rsidRPr="005C5DD4" w:rsidRDefault="005C5DD4" w:rsidP="00EE79AE">
            <w:pPr>
              <w:ind w:left="-102" w:firstLine="102"/>
              <w:jc w:val="center"/>
              <w:rPr>
                <w:b/>
              </w:rPr>
            </w:pPr>
            <w:r w:rsidRPr="005C5DD4">
              <w:rPr>
                <w:b/>
              </w:rPr>
              <w:t xml:space="preserve">MINISTRUL LUCRĂRILOR PUBLICE, DEZVOLTĂRII ŞI ADMINISTRAȚIEI </w:t>
            </w:r>
          </w:p>
          <w:p w14:paraId="37FE1006" w14:textId="77777777" w:rsidR="005C5DD4" w:rsidRPr="005C5DD4" w:rsidRDefault="005C5DD4">
            <w:pPr>
              <w:ind w:left="720" w:hanging="720"/>
              <w:jc w:val="center"/>
              <w:rPr>
                <w:b/>
              </w:rPr>
            </w:pPr>
          </w:p>
          <w:p w14:paraId="7520C5A1" w14:textId="77777777" w:rsidR="005C5DD4" w:rsidRDefault="005C5DD4">
            <w:pPr>
              <w:ind w:left="720" w:hanging="720"/>
              <w:jc w:val="center"/>
              <w:rPr>
                <w:b/>
              </w:rPr>
            </w:pPr>
            <w:r w:rsidRPr="005C5DD4">
              <w:rPr>
                <w:b/>
              </w:rPr>
              <w:t>Ion ŞTEFAN</w:t>
            </w:r>
          </w:p>
          <w:p w14:paraId="054A9718" w14:textId="77777777" w:rsidR="00EE79AE" w:rsidRDefault="00EE79AE">
            <w:pPr>
              <w:ind w:left="720" w:hanging="720"/>
              <w:jc w:val="center"/>
              <w:rPr>
                <w:b/>
              </w:rPr>
            </w:pPr>
          </w:p>
          <w:p w14:paraId="7F6490C1" w14:textId="67DD7353" w:rsidR="00EE79AE" w:rsidRPr="005C5DD4" w:rsidRDefault="00EE79AE">
            <w:pPr>
              <w:ind w:left="720" w:hanging="720"/>
              <w:jc w:val="center"/>
              <w:rPr>
                <w:b/>
                <w:u w:val="single"/>
              </w:rPr>
            </w:pPr>
          </w:p>
        </w:tc>
        <w:tc>
          <w:tcPr>
            <w:tcW w:w="5137" w:type="dxa"/>
          </w:tcPr>
          <w:p w14:paraId="057CD2D9" w14:textId="77777777" w:rsidR="009404CF" w:rsidRPr="005C5DD4" w:rsidRDefault="009404CF" w:rsidP="00FF2CC0">
            <w:pPr>
              <w:ind w:left="720" w:hanging="720"/>
              <w:jc w:val="center"/>
              <w:rPr>
                <w:b/>
              </w:rPr>
            </w:pPr>
            <w:r w:rsidRPr="005C5DD4">
              <w:rPr>
                <w:b/>
              </w:rPr>
              <w:t>MINISTRUL SĂNĂTĂȚII</w:t>
            </w:r>
          </w:p>
          <w:p w14:paraId="20B1835C" w14:textId="77777777" w:rsidR="009404CF" w:rsidRPr="005C5DD4" w:rsidRDefault="009404CF" w:rsidP="00FF2CC0">
            <w:pPr>
              <w:ind w:left="720" w:hanging="720"/>
              <w:jc w:val="center"/>
              <w:rPr>
                <w:b/>
              </w:rPr>
            </w:pPr>
          </w:p>
          <w:p w14:paraId="7804A97F" w14:textId="013D1C78" w:rsidR="00F468B8" w:rsidRDefault="009404CF" w:rsidP="00FF2CC0">
            <w:pPr>
              <w:ind w:left="720" w:hanging="720"/>
              <w:jc w:val="center"/>
              <w:rPr>
                <w:b/>
              </w:rPr>
            </w:pPr>
            <w:r w:rsidRPr="005C5DD4">
              <w:rPr>
                <w:b/>
              </w:rPr>
              <w:t>Nelu TĂTARU</w:t>
            </w:r>
          </w:p>
          <w:p w14:paraId="65E77282" w14:textId="77777777" w:rsidR="00F468B8" w:rsidRPr="005C5DD4" w:rsidRDefault="00F468B8" w:rsidP="00FF2CC0">
            <w:pPr>
              <w:ind w:left="720" w:hanging="720"/>
              <w:jc w:val="center"/>
              <w:rPr>
                <w:b/>
              </w:rPr>
            </w:pPr>
          </w:p>
          <w:p w14:paraId="3F13E6A9" w14:textId="77777777" w:rsidR="005C5DD4" w:rsidRDefault="005C5DD4" w:rsidP="00EE79AE">
            <w:pPr>
              <w:jc w:val="center"/>
              <w:rPr>
                <w:b/>
                <w:u w:val="single"/>
              </w:rPr>
            </w:pPr>
          </w:p>
          <w:p w14:paraId="7984C412" w14:textId="77777777" w:rsidR="00EE79AE" w:rsidRDefault="00EE79AE" w:rsidP="00EE79AE">
            <w:pPr>
              <w:jc w:val="center"/>
              <w:rPr>
                <w:b/>
                <w:u w:val="single"/>
              </w:rPr>
            </w:pPr>
          </w:p>
          <w:p w14:paraId="5012448F" w14:textId="77777777" w:rsidR="00EE79AE" w:rsidRPr="005C5DD4" w:rsidRDefault="00EE79AE" w:rsidP="00EE79AE">
            <w:pPr>
              <w:jc w:val="center"/>
              <w:rPr>
                <w:b/>
                <w:u w:val="single"/>
              </w:rPr>
            </w:pPr>
          </w:p>
        </w:tc>
      </w:tr>
      <w:tr w:rsidR="005C5DD4" w:rsidRPr="005C5DD4" w14:paraId="7C84FE9E" w14:textId="77777777" w:rsidTr="005C5DD4">
        <w:trPr>
          <w:trHeight w:val="1477"/>
        </w:trPr>
        <w:tc>
          <w:tcPr>
            <w:tcW w:w="5069" w:type="dxa"/>
          </w:tcPr>
          <w:p w14:paraId="33EB36E0" w14:textId="77777777" w:rsidR="008C471E" w:rsidRPr="005C5DD4" w:rsidRDefault="008C471E" w:rsidP="00FF2CC0">
            <w:pPr>
              <w:ind w:left="720" w:hanging="720"/>
              <w:jc w:val="center"/>
              <w:rPr>
                <w:b/>
              </w:rPr>
            </w:pPr>
            <w:r w:rsidRPr="005C5DD4">
              <w:rPr>
                <w:b/>
              </w:rPr>
              <w:t>MINISTRUL APĂRĂRII NAȚIONALE</w:t>
            </w:r>
          </w:p>
          <w:p w14:paraId="2BBC62A3" w14:textId="77777777" w:rsidR="00EE79AE" w:rsidRPr="005C5DD4" w:rsidRDefault="00EE79AE" w:rsidP="00FF2CC0">
            <w:pPr>
              <w:ind w:left="720" w:hanging="720"/>
              <w:jc w:val="center"/>
              <w:rPr>
                <w:b/>
              </w:rPr>
            </w:pPr>
          </w:p>
          <w:p w14:paraId="125F802A" w14:textId="77777777" w:rsidR="008C471E" w:rsidRDefault="008C471E" w:rsidP="00FF2CC0">
            <w:pPr>
              <w:ind w:left="720" w:hanging="720"/>
              <w:jc w:val="center"/>
              <w:rPr>
                <w:b/>
              </w:rPr>
            </w:pPr>
          </w:p>
          <w:p w14:paraId="74C493C9" w14:textId="77777777" w:rsidR="008C471E" w:rsidRDefault="008C471E" w:rsidP="00FF2CC0">
            <w:pPr>
              <w:ind w:left="720" w:hanging="720"/>
              <w:jc w:val="center"/>
              <w:rPr>
                <w:b/>
              </w:rPr>
            </w:pPr>
            <w:r w:rsidRPr="005C5DD4">
              <w:rPr>
                <w:b/>
              </w:rPr>
              <w:t>Ionel Nicolae CIUCĂ</w:t>
            </w:r>
            <w:r w:rsidRPr="005C5DD4" w:rsidDel="009404CF">
              <w:rPr>
                <w:b/>
              </w:rPr>
              <w:t xml:space="preserve"> </w:t>
            </w:r>
          </w:p>
          <w:p w14:paraId="22611551" w14:textId="77777777" w:rsidR="005C5DD4" w:rsidRPr="005C5DD4" w:rsidRDefault="005C5DD4" w:rsidP="00EE79AE">
            <w:pPr>
              <w:shd w:val="clear" w:color="auto" w:fill="FFFFFF"/>
              <w:jc w:val="center"/>
              <w:rPr>
                <w:b/>
                <w:u w:val="single"/>
              </w:rPr>
            </w:pPr>
          </w:p>
        </w:tc>
        <w:tc>
          <w:tcPr>
            <w:tcW w:w="5137" w:type="dxa"/>
          </w:tcPr>
          <w:p w14:paraId="2B2D179E" w14:textId="77777777" w:rsidR="008C471E" w:rsidRPr="005C5DD4" w:rsidRDefault="008C471E" w:rsidP="00FF2CC0">
            <w:pPr>
              <w:ind w:left="720" w:hanging="720"/>
              <w:jc w:val="center"/>
              <w:rPr>
                <w:b/>
                <w:bCs/>
              </w:rPr>
            </w:pPr>
            <w:r w:rsidRPr="005C5DD4">
              <w:rPr>
                <w:b/>
                <w:bCs/>
              </w:rPr>
              <w:t>MINISTRUL FINANŢELOR PUBLICE</w:t>
            </w:r>
          </w:p>
          <w:p w14:paraId="7BEFC769" w14:textId="32AB87D2" w:rsidR="008C471E" w:rsidRDefault="008C471E" w:rsidP="00EE79AE">
            <w:pPr>
              <w:jc w:val="center"/>
              <w:rPr>
                <w:b/>
                <w:bCs/>
              </w:rPr>
            </w:pPr>
          </w:p>
          <w:p w14:paraId="398A8D7F" w14:textId="77777777" w:rsidR="008C471E" w:rsidRPr="005C5DD4" w:rsidRDefault="008C471E" w:rsidP="00EE79AE">
            <w:pPr>
              <w:jc w:val="center"/>
              <w:rPr>
                <w:b/>
                <w:bCs/>
              </w:rPr>
            </w:pPr>
          </w:p>
          <w:p w14:paraId="38C1FE22" w14:textId="77777777" w:rsidR="008C471E" w:rsidRPr="005C5DD4" w:rsidRDefault="008C471E">
            <w:pPr>
              <w:jc w:val="center"/>
              <w:rPr>
                <w:b/>
                <w:bCs/>
              </w:rPr>
            </w:pPr>
            <w:r w:rsidRPr="005C5DD4">
              <w:rPr>
                <w:b/>
                <w:bCs/>
              </w:rPr>
              <w:t>Vasile-Florin CÎŢU</w:t>
            </w:r>
          </w:p>
          <w:p w14:paraId="3764F471" w14:textId="77777777" w:rsidR="00F468B8" w:rsidRDefault="00F468B8" w:rsidP="00FF2CC0">
            <w:pPr>
              <w:ind w:left="720" w:hanging="720"/>
              <w:jc w:val="center"/>
              <w:rPr>
                <w:b/>
              </w:rPr>
            </w:pPr>
          </w:p>
          <w:p w14:paraId="7562EF35" w14:textId="77777777" w:rsidR="005C5DD4" w:rsidRDefault="005C5DD4" w:rsidP="00FF2CC0">
            <w:pPr>
              <w:ind w:left="720" w:hanging="720"/>
              <w:jc w:val="center"/>
              <w:rPr>
                <w:b/>
                <w:u w:val="single"/>
              </w:rPr>
            </w:pPr>
          </w:p>
          <w:p w14:paraId="6F7FAA14" w14:textId="77777777" w:rsidR="00EE79AE" w:rsidRDefault="00EE79AE" w:rsidP="00FF2CC0">
            <w:pPr>
              <w:ind w:left="720" w:hanging="720"/>
              <w:jc w:val="center"/>
              <w:rPr>
                <w:b/>
                <w:u w:val="single"/>
              </w:rPr>
            </w:pPr>
          </w:p>
          <w:p w14:paraId="017B9162" w14:textId="77777777" w:rsidR="00EE79AE" w:rsidRPr="005C5DD4" w:rsidRDefault="00EE79AE" w:rsidP="00FF2CC0">
            <w:pPr>
              <w:ind w:left="720" w:hanging="720"/>
              <w:jc w:val="center"/>
              <w:rPr>
                <w:b/>
                <w:u w:val="single"/>
              </w:rPr>
            </w:pPr>
          </w:p>
        </w:tc>
      </w:tr>
      <w:tr w:rsidR="005C5DD4" w:rsidRPr="005C5DD4" w14:paraId="6B1AB8B3" w14:textId="77777777" w:rsidTr="005C5DD4">
        <w:trPr>
          <w:trHeight w:val="1129"/>
        </w:trPr>
        <w:tc>
          <w:tcPr>
            <w:tcW w:w="5069" w:type="dxa"/>
          </w:tcPr>
          <w:p w14:paraId="506CCEBE" w14:textId="5AA3772B" w:rsidR="005C5DD4" w:rsidRPr="005C5DD4" w:rsidRDefault="005C5DD4" w:rsidP="005C5DD4">
            <w:pPr>
              <w:spacing w:after="120"/>
              <w:ind w:left="720" w:hanging="720"/>
              <w:jc w:val="center"/>
              <w:rPr>
                <w:b/>
              </w:rPr>
            </w:pPr>
            <w:r w:rsidRPr="005C5DD4">
              <w:rPr>
                <w:b/>
              </w:rPr>
              <w:t>MINISTRUL AFACERILOR INTERNE</w:t>
            </w:r>
          </w:p>
          <w:p w14:paraId="57B6FF96" w14:textId="77777777" w:rsidR="005C5DD4" w:rsidRDefault="005C5DD4" w:rsidP="005C5DD4">
            <w:pPr>
              <w:spacing w:after="120"/>
              <w:ind w:left="720" w:hanging="720"/>
              <w:jc w:val="center"/>
              <w:rPr>
                <w:b/>
              </w:rPr>
            </w:pPr>
          </w:p>
          <w:p w14:paraId="4A898DCC" w14:textId="77777777" w:rsidR="005C5DD4" w:rsidRPr="005C5DD4" w:rsidRDefault="005C5DD4" w:rsidP="005C5DD4">
            <w:pPr>
              <w:spacing w:after="120"/>
              <w:ind w:left="720" w:hanging="720"/>
              <w:jc w:val="center"/>
              <w:rPr>
                <w:b/>
              </w:rPr>
            </w:pPr>
            <w:r w:rsidRPr="005C5DD4">
              <w:rPr>
                <w:b/>
              </w:rPr>
              <w:t>Ion Marcel VELA</w:t>
            </w:r>
          </w:p>
          <w:p w14:paraId="2DE02E11" w14:textId="77777777" w:rsidR="005C5DD4" w:rsidRDefault="005C5DD4" w:rsidP="00C9066A">
            <w:pPr>
              <w:spacing w:after="240"/>
              <w:jc w:val="center"/>
              <w:rPr>
                <w:b/>
                <w:u w:val="single"/>
              </w:rPr>
            </w:pPr>
          </w:p>
          <w:p w14:paraId="1528DF13" w14:textId="77777777" w:rsidR="00381090" w:rsidRPr="005C5DD4" w:rsidRDefault="00381090" w:rsidP="00C9066A">
            <w:pPr>
              <w:spacing w:after="240"/>
              <w:jc w:val="center"/>
              <w:rPr>
                <w:b/>
                <w:u w:val="single"/>
              </w:rPr>
            </w:pPr>
          </w:p>
        </w:tc>
        <w:tc>
          <w:tcPr>
            <w:tcW w:w="5137" w:type="dxa"/>
          </w:tcPr>
          <w:p w14:paraId="36DE3466" w14:textId="77777777" w:rsidR="008C471E" w:rsidRDefault="008C471E" w:rsidP="008C471E">
            <w:pPr>
              <w:shd w:val="clear" w:color="auto" w:fill="FFFFFF"/>
              <w:jc w:val="center"/>
              <w:rPr>
                <w:rFonts w:eastAsia="Arial Unicode MS"/>
                <w:b/>
              </w:rPr>
            </w:pPr>
            <w:r w:rsidRPr="005C5DD4">
              <w:rPr>
                <w:rFonts w:eastAsia="Arial Unicode MS"/>
                <w:b/>
              </w:rPr>
              <w:t>MINISTRUL JUSTIŢIEI</w:t>
            </w:r>
          </w:p>
          <w:p w14:paraId="058CF9EF" w14:textId="67EB7896" w:rsidR="008C471E" w:rsidRDefault="008C471E" w:rsidP="008C471E">
            <w:pPr>
              <w:shd w:val="clear" w:color="auto" w:fill="FFFFFF"/>
              <w:jc w:val="center"/>
              <w:rPr>
                <w:rFonts w:eastAsia="Arial Unicode MS"/>
                <w:b/>
              </w:rPr>
            </w:pPr>
          </w:p>
          <w:p w14:paraId="4F7E12FE" w14:textId="77777777" w:rsidR="008C471E" w:rsidRPr="005C5DD4" w:rsidRDefault="008C471E" w:rsidP="008C471E">
            <w:pPr>
              <w:shd w:val="clear" w:color="auto" w:fill="FFFFFF"/>
              <w:jc w:val="center"/>
              <w:rPr>
                <w:rFonts w:eastAsia="Arial Unicode MS"/>
                <w:b/>
              </w:rPr>
            </w:pPr>
          </w:p>
          <w:p w14:paraId="0C5D073D" w14:textId="77777777" w:rsidR="008C471E" w:rsidRPr="005C5DD4" w:rsidRDefault="008C471E" w:rsidP="008C471E">
            <w:pPr>
              <w:shd w:val="clear" w:color="auto" w:fill="FFFFFF"/>
              <w:jc w:val="center"/>
              <w:rPr>
                <w:rFonts w:eastAsia="Arial Unicode MS"/>
                <w:b/>
              </w:rPr>
            </w:pPr>
            <w:r w:rsidRPr="005C5DD4">
              <w:rPr>
                <w:rFonts w:eastAsia="Arial Unicode MS"/>
                <w:b/>
              </w:rPr>
              <w:t xml:space="preserve">Marian Cătălin PREDOIU </w:t>
            </w:r>
          </w:p>
          <w:p w14:paraId="7126EEDF" w14:textId="77777777" w:rsidR="009404CF" w:rsidRDefault="009404CF" w:rsidP="005C5DD4">
            <w:pPr>
              <w:spacing w:after="120"/>
              <w:ind w:left="720" w:hanging="720"/>
              <w:jc w:val="center"/>
              <w:rPr>
                <w:b/>
                <w:u w:val="single"/>
              </w:rPr>
            </w:pPr>
          </w:p>
          <w:p w14:paraId="5C029BAA" w14:textId="2278002D" w:rsidR="00F468B8" w:rsidRPr="005C5DD4" w:rsidRDefault="00F468B8" w:rsidP="005C5DD4">
            <w:pPr>
              <w:spacing w:after="120"/>
              <w:ind w:left="720" w:hanging="720"/>
              <w:jc w:val="center"/>
              <w:rPr>
                <w:b/>
                <w:u w:val="single"/>
              </w:rPr>
            </w:pPr>
          </w:p>
        </w:tc>
      </w:tr>
      <w:tr w:rsidR="005C5DD4" w:rsidRPr="005C5DD4" w14:paraId="39C83C5A" w14:textId="77777777" w:rsidTr="005C5DD4">
        <w:tc>
          <w:tcPr>
            <w:tcW w:w="10206" w:type="dxa"/>
            <w:gridSpan w:val="2"/>
          </w:tcPr>
          <w:p w14:paraId="781431D2" w14:textId="77777777" w:rsidR="007600AE" w:rsidRPr="005C5DD4" w:rsidRDefault="007600AE" w:rsidP="008C471E">
            <w:pPr>
              <w:shd w:val="clear" w:color="auto" w:fill="FFFFFF"/>
              <w:jc w:val="center"/>
              <w:rPr>
                <w:b/>
                <w:u w:val="single"/>
              </w:rPr>
            </w:pPr>
          </w:p>
        </w:tc>
      </w:tr>
    </w:tbl>
    <w:p w14:paraId="2FE63731" w14:textId="39315113" w:rsidR="00381090" w:rsidRDefault="00381090" w:rsidP="00647401">
      <w:pPr>
        <w:spacing w:after="160" w:line="259" w:lineRule="auto"/>
        <w:rPr>
          <w:rFonts w:ascii="Trebuchet MS" w:eastAsia="Calibri" w:hAnsi="Trebuchet MS"/>
          <w:b/>
          <w:sz w:val="22"/>
          <w:szCs w:val="22"/>
        </w:rPr>
      </w:pPr>
    </w:p>
    <w:sectPr w:rsidR="00381090" w:rsidSect="00565752">
      <w:footerReference w:type="even" r:id="rId8"/>
      <w:footerReference w:type="default" r:id="rId9"/>
      <w:pgSz w:w="12240" w:h="15840"/>
      <w:pgMar w:top="737" w:right="851" w:bottom="709"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97894" w16cex:dateUtc="2020-07-15T09:44:00Z"/>
  <w16cex:commentExtensible w16cex:durableId="22B978B2" w16cex:dateUtc="2020-07-15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2D13953" w16cid:durableId="22B97894"/>
  <w16cid:commentId w16cid:paraId="6E2F3950" w16cid:durableId="22B978B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D730D" w14:textId="77777777" w:rsidR="00086114" w:rsidRDefault="00086114">
      <w:r>
        <w:separator/>
      </w:r>
    </w:p>
  </w:endnote>
  <w:endnote w:type="continuationSeparator" w:id="0">
    <w:p w14:paraId="0EDBB523" w14:textId="77777777" w:rsidR="00086114" w:rsidRDefault="0008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78418" w14:textId="77777777" w:rsidR="00EA23CB" w:rsidRDefault="00670C79" w:rsidP="00AC7A3E">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70733C72" w14:textId="77777777" w:rsidR="00EA23CB" w:rsidRDefault="00086114" w:rsidP="001C5815">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1042087"/>
      <w:docPartObj>
        <w:docPartGallery w:val="Page Numbers (Bottom of Page)"/>
        <w:docPartUnique/>
      </w:docPartObj>
    </w:sdtPr>
    <w:sdtEndPr>
      <w:rPr>
        <w:noProof/>
      </w:rPr>
    </w:sdtEndPr>
    <w:sdtContent>
      <w:p w14:paraId="31653F21" w14:textId="36466F6C" w:rsidR="00BA47F0" w:rsidRDefault="00BA47F0">
        <w:pPr>
          <w:pStyle w:val="Subsol"/>
          <w:jc w:val="right"/>
        </w:pPr>
        <w:r>
          <w:fldChar w:fldCharType="begin"/>
        </w:r>
        <w:r>
          <w:instrText xml:space="preserve"> PAGE   \* MERGEFORMAT </w:instrText>
        </w:r>
        <w:r>
          <w:fldChar w:fldCharType="separate"/>
        </w:r>
        <w:r w:rsidR="00D501A1">
          <w:rPr>
            <w:noProof/>
          </w:rPr>
          <w:t>10</w:t>
        </w:r>
        <w:r>
          <w:rPr>
            <w:noProof/>
          </w:rPr>
          <w:fldChar w:fldCharType="end"/>
        </w:r>
      </w:p>
    </w:sdtContent>
  </w:sdt>
  <w:p w14:paraId="0C442F9A" w14:textId="77777777" w:rsidR="00EA23CB" w:rsidRDefault="00086114" w:rsidP="001C5815">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C3993" w14:textId="77777777" w:rsidR="00086114" w:rsidRDefault="00086114">
      <w:r>
        <w:separator/>
      </w:r>
    </w:p>
  </w:footnote>
  <w:footnote w:type="continuationSeparator" w:id="0">
    <w:p w14:paraId="0FBF1DC3" w14:textId="77777777" w:rsidR="00086114" w:rsidRDefault="000861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EA6"/>
    <w:rsid w:val="000019B6"/>
    <w:rsid w:val="00013621"/>
    <w:rsid w:val="000155D5"/>
    <w:rsid w:val="00017D04"/>
    <w:rsid w:val="00024F37"/>
    <w:rsid w:val="00025015"/>
    <w:rsid w:val="00026B13"/>
    <w:rsid w:val="00040B7B"/>
    <w:rsid w:val="00043471"/>
    <w:rsid w:val="00043911"/>
    <w:rsid w:val="0004452D"/>
    <w:rsid w:val="00054869"/>
    <w:rsid w:val="00057629"/>
    <w:rsid w:val="00064A6B"/>
    <w:rsid w:val="00073195"/>
    <w:rsid w:val="000733D3"/>
    <w:rsid w:val="0007609F"/>
    <w:rsid w:val="00076C55"/>
    <w:rsid w:val="00081475"/>
    <w:rsid w:val="00083DB6"/>
    <w:rsid w:val="00083EAF"/>
    <w:rsid w:val="00085904"/>
    <w:rsid w:val="00086114"/>
    <w:rsid w:val="00087383"/>
    <w:rsid w:val="00090676"/>
    <w:rsid w:val="00094481"/>
    <w:rsid w:val="000A06E8"/>
    <w:rsid w:val="000A6298"/>
    <w:rsid w:val="000A71F1"/>
    <w:rsid w:val="000B55D8"/>
    <w:rsid w:val="000B7506"/>
    <w:rsid w:val="000C4A4F"/>
    <w:rsid w:val="000C7EAF"/>
    <w:rsid w:val="000D4C09"/>
    <w:rsid w:val="000E3A58"/>
    <w:rsid w:val="000F40EF"/>
    <w:rsid w:val="00101A9B"/>
    <w:rsid w:val="0010482B"/>
    <w:rsid w:val="00105808"/>
    <w:rsid w:val="00107736"/>
    <w:rsid w:val="00107E28"/>
    <w:rsid w:val="00112E9E"/>
    <w:rsid w:val="00121CCC"/>
    <w:rsid w:val="00126BBF"/>
    <w:rsid w:val="00131281"/>
    <w:rsid w:val="001313D8"/>
    <w:rsid w:val="00133A3B"/>
    <w:rsid w:val="001459BC"/>
    <w:rsid w:val="00152085"/>
    <w:rsid w:val="0015446A"/>
    <w:rsid w:val="0015762E"/>
    <w:rsid w:val="00161A61"/>
    <w:rsid w:val="00164FF3"/>
    <w:rsid w:val="00165A07"/>
    <w:rsid w:val="00172493"/>
    <w:rsid w:val="0017630C"/>
    <w:rsid w:val="00177EC3"/>
    <w:rsid w:val="0019189C"/>
    <w:rsid w:val="001919CC"/>
    <w:rsid w:val="001A374F"/>
    <w:rsid w:val="001A4420"/>
    <w:rsid w:val="001A78A0"/>
    <w:rsid w:val="001B23D0"/>
    <w:rsid w:val="001B2B36"/>
    <w:rsid w:val="001B3B27"/>
    <w:rsid w:val="001B6DD8"/>
    <w:rsid w:val="001B7961"/>
    <w:rsid w:val="001C7510"/>
    <w:rsid w:val="001D7448"/>
    <w:rsid w:val="001E058E"/>
    <w:rsid w:val="001F14A2"/>
    <w:rsid w:val="001F700D"/>
    <w:rsid w:val="001F733F"/>
    <w:rsid w:val="002116FE"/>
    <w:rsid w:val="00213BDB"/>
    <w:rsid w:val="00221987"/>
    <w:rsid w:val="00225653"/>
    <w:rsid w:val="00232ED4"/>
    <w:rsid w:val="002337CA"/>
    <w:rsid w:val="00233D49"/>
    <w:rsid w:val="00234AB0"/>
    <w:rsid w:val="002404F7"/>
    <w:rsid w:val="00244CF8"/>
    <w:rsid w:val="00251605"/>
    <w:rsid w:val="0025682E"/>
    <w:rsid w:val="00262CFA"/>
    <w:rsid w:val="00267571"/>
    <w:rsid w:val="00275947"/>
    <w:rsid w:val="0027750A"/>
    <w:rsid w:val="00280BAF"/>
    <w:rsid w:val="00286173"/>
    <w:rsid w:val="00286DEC"/>
    <w:rsid w:val="002A7775"/>
    <w:rsid w:val="002B2155"/>
    <w:rsid w:val="002B583C"/>
    <w:rsid w:val="002B689E"/>
    <w:rsid w:val="002B7888"/>
    <w:rsid w:val="002C1C7F"/>
    <w:rsid w:val="002C5396"/>
    <w:rsid w:val="002C6EEE"/>
    <w:rsid w:val="002D2048"/>
    <w:rsid w:val="002D519D"/>
    <w:rsid w:val="002E22BC"/>
    <w:rsid w:val="002E3AFC"/>
    <w:rsid w:val="002E6018"/>
    <w:rsid w:val="002E7E37"/>
    <w:rsid w:val="002F01BF"/>
    <w:rsid w:val="002F2645"/>
    <w:rsid w:val="00302ADB"/>
    <w:rsid w:val="00302D6F"/>
    <w:rsid w:val="00305061"/>
    <w:rsid w:val="0030581C"/>
    <w:rsid w:val="00306119"/>
    <w:rsid w:val="00315CB8"/>
    <w:rsid w:val="003179ED"/>
    <w:rsid w:val="00322480"/>
    <w:rsid w:val="00332715"/>
    <w:rsid w:val="00332FEB"/>
    <w:rsid w:val="00335C69"/>
    <w:rsid w:val="003456BD"/>
    <w:rsid w:val="003543EA"/>
    <w:rsid w:val="00355C12"/>
    <w:rsid w:val="003569BD"/>
    <w:rsid w:val="003605E7"/>
    <w:rsid w:val="00365A86"/>
    <w:rsid w:val="0037559F"/>
    <w:rsid w:val="00381090"/>
    <w:rsid w:val="00390E31"/>
    <w:rsid w:val="00396A04"/>
    <w:rsid w:val="003B02B3"/>
    <w:rsid w:val="003B3A2C"/>
    <w:rsid w:val="003B424D"/>
    <w:rsid w:val="003C1670"/>
    <w:rsid w:val="003C6D3A"/>
    <w:rsid w:val="003D092D"/>
    <w:rsid w:val="003D6235"/>
    <w:rsid w:val="003E080A"/>
    <w:rsid w:val="003F046A"/>
    <w:rsid w:val="003F5CF6"/>
    <w:rsid w:val="003F6ACA"/>
    <w:rsid w:val="0040003B"/>
    <w:rsid w:val="0041039C"/>
    <w:rsid w:val="0042197D"/>
    <w:rsid w:val="004248D9"/>
    <w:rsid w:val="00425D30"/>
    <w:rsid w:val="00434D7D"/>
    <w:rsid w:val="004362A6"/>
    <w:rsid w:val="00440136"/>
    <w:rsid w:val="004449A8"/>
    <w:rsid w:val="00445A50"/>
    <w:rsid w:val="00454D72"/>
    <w:rsid w:val="00461DC3"/>
    <w:rsid w:val="00463434"/>
    <w:rsid w:val="00464AED"/>
    <w:rsid w:val="00473382"/>
    <w:rsid w:val="00473DA2"/>
    <w:rsid w:val="00475C30"/>
    <w:rsid w:val="0047738F"/>
    <w:rsid w:val="004806BE"/>
    <w:rsid w:val="00493464"/>
    <w:rsid w:val="004A2289"/>
    <w:rsid w:val="004A26E1"/>
    <w:rsid w:val="004A39EE"/>
    <w:rsid w:val="004A6FCC"/>
    <w:rsid w:val="004B13DF"/>
    <w:rsid w:val="004B1759"/>
    <w:rsid w:val="004B1ABD"/>
    <w:rsid w:val="004B7CAD"/>
    <w:rsid w:val="004C07F9"/>
    <w:rsid w:val="004C103A"/>
    <w:rsid w:val="004D210B"/>
    <w:rsid w:val="004D279E"/>
    <w:rsid w:val="004D5BA3"/>
    <w:rsid w:val="004D6ABC"/>
    <w:rsid w:val="004E13AF"/>
    <w:rsid w:val="004E40FD"/>
    <w:rsid w:val="004E789F"/>
    <w:rsid w:val="004F0E4B"/>
    <w:rsid w:val="004F551E"/>
    <w:rsid w:val="00505AF3"/>
    <w:rsid w:val="00515920"/>
    <w:rsid w:val="00520345"/>
    <w:rsid w:val="00520BE3"/>
    <w:rsid w:val="00527866"/>
    <w:rsid w:val="00530AC8"/>
    <w:rsid w:val="0053145E"/>
    <w:rsid w:val="0053190B"/>
    <w:rsid w:val="00533DD2"/>
    <w:rsid w:val="00533E19"/>
    <w:rsid w:val="00542411"/>
    <w:rsid w:val="00554716"/>
    <w:rsid w:val="00562652"/>
    <w:rsid w:val="005649C0"/>
    <w:rsid w:val="00565752"/>
    <w:rsid w:val="00566EBF"/>
    <w:rsid w:val="00571569"/>
    <w:rsid w:val="00575BCE"/>
    <w:rsid w:val="0057730A"/>
    <w:rsid w:val="00577623"/>
    <w:rsid w:val="005A1D6C"/>
    <w:rsid w:val="005A2F37"/>
    <w:rsid w:val="005A47ED"/>
    <w:rsid w:val="005A5A3E"/>
    <w:rsid w:val="005A5D29"/>
    <w:rsid w:val="005B02AB"/>
    <w:rsid w:val="005B31F7"/>
    <w:rsid w:val="005B58FF"/>
    <w:rsid w:val="005B716F"/>
    <w:rsid w:val="005C2F53"/>
    <w:rsid w:val="005C5DD4"/>
    <w:rsid w:val="005D05C7"/>
    <w:rsid w:val="005D33F6"/>
    <w:rsid w:val="005D4F6E"/>
    <w:rsid w:val="005E24DC"/>
    <w:rsid w:val="005E318B"/>
    <w:rsid w:val="005E662E"/>
    <w:rsid w:val="005E6BD7"/>
    <w:rsid w:val="005F27A0"/>
    <w:rsid w:val="00601913"/>
    <w:rsid w:val="0060421A"/>
    <w:rsid w:val="00611644"/>
    <w:rsid w:val="006259CC"/>
    <w:rsid w:val="006308CD"/>
    <w:rsid w:val="00634816"/>
    <w:rsid w:val="00634CC1"/>
    <w:rsid w:val="00635197"/>
    <w:rsid w:val="0063758C"/>
    <w:rsid w:val="006449AD"/>
    <w:rsid w:val="006467F1"/>
    <w:rsid w:val="00647401"/>
    <w:rsid w:val="00652918"/>
    <w:rsid w:val="00652E1B"/>
    <w:rsid w:val="00653F32"/>
    <w:rsid w:val="00656BD4"/>
    <w:rsid w:val="006600DC"/>
    <w:rsid w:val="00660605"/>
    <w:rsid w:val="006622B7"/>
    <w:rsid w:val="00662E0D"/>
    <w:rsid w:val="0066383C"/>
    <w:rsid w:val="0066428B"/>
    <w:rsid w:val="00670C79"/>
    <w:rsid w:val="00670DA7"/>
    <w:rsid w:val="0067280E"/>
    <w:rsid w:val="0067373F"/>
    <w:rsid w:val="006737CE"/>
    <w:rsid w:val="00674168"/>
    <w:rsid w:val="00674E7A"/>
    <w:rsid w:val="00677B92"/>
    <w:rsid w:val="006813E4"/>
    <w:rsid w:val="00696435"/>
    <w:rsid w:val="006964C3"/>
    <w:rsid w:val="006B075E"/>
    <w:rsid w:val="006B0F3D"/>
    <w:rsid w:val="006C1EBB"/>
    <w:rsid w:val="006C3986"/>
    <w:rsid w:val="006C63AE"/>
    <w:rsid w:val="006C63C2"/>
    <w:rsid w:val="006C711B"/>
    <w:rsid w:val="006D07D6"/>
    <w:rsid w:val="006D37D0"/>
    <w:rsid w:val="006E4FBF"/>
    <w:rsid w:val="006F2F9D"/>
    <w:rsid w:val="006F350D"/>
    <w:rsid w:val="006F72EC"/>
    <w:rsid w:val="00705F15"/>
    <w:rsid w:val="00707949"/>
    <w:rsid w:val="007118D7"/>
    <w:rsid w:val="00713515"/>
    <w:rsid w:val="00720217"/>
    <w:rsid w:val="00721E13"/>
    <w:rsid w:val="00723AC4"/>
    <w:rsid w:val="00723BA7"/>
    <w:rsid w:val="007263F0"/>
    <w:rsid w:val="00726D70"/>
    <w:rsid w:val="00735154"/>
    <w:rsid w:val="00741AA7"/>
    <w:rsid w:val="007600AE"/>
    <w:rsid w:val="00763CC1"/>
    <w:rsid w:val="007678A9"/>
    <w:rsid w:val="00774611"/>
    <w:rsid w:val="00784848"/>
    <w:rsid w:val="00784A78"/>
    <w:rsid w:val="00786699"/>
    <w:rsid w:val="00787457"/>
    <w:rsid w:val="00793B14"/>
    <w:rsid w:val="007949E0"/>
    <w:rsid w:val="007A4087"/>
    <w:rsid w:val="007A5914"/>
    <w:rsid w:val="007B37F8"/>
    <w:rsid w:val="007D383B"/>
    <w:rsid w:val="007D5B0F"/>
    <w:rsid w:val="007D6BE6"/>
    <w:rsid w:val="007E2F46"/>
    <w:rsid w:val="007E315C"/>
    <w:rsid w:val="007E6D8E"/>
    <w:rsid w:val="007F14F5"/>
    <w:rsid w:val="007F7226"/>
    <w:rsid w:val="0080159B"/>
    <w:rsid w:val="008041B9"/>
    <w:rsid w:val="00812F1A"/>
    <w:rsid w:val="008147DC"/>
    <w:rsid w:val="00820027"/>
    <w:rsid w:val="00821135"/>
    <w:rsid w:val="00821A2E"/>
    <w:rsid w:val="00821E21"/>
    <w:rsid w:val="00823B92"/>
    <w:rsid w:val="008259E4"/>
    <w:rsid w:val="00833F5C"/>
    <w:rsid w:val="00834D8E"/>
    <w:rsid w:val="008438F3"/>
    <w:rsid w:val="00843E24"/>
    <w:rsid w:val="0084634B"/>
    <w:rsid w:val="0084657A"/>
    <w:rsid w:val="00847EA6"/>
    <w:rsid w:val="00857F6E"/>
    <w:rsid w:val="008619CE"/>
    <w:rsid w:val="008705E3"/>
    <w:rsid w:val="0087248D"/>
    <w:rsid w:val="00873608"/>
    <w:rsid w:val="00873E3D"/>
    <w:rsid w:val="008752C0"/>
    <w:rsid w:val="0089074E"/>
    <w:rsid w:val="008965DD"/>
    <w:rsid w:val="008A1CD6"/>
    <w:rsid w:val="008A2707"/>
    <w:rsid w:val="008A3EC9"/>
    <w:rsid w:val="008A45B5"/>
    <w:rsid w:val="008A4B30"/>
    <w:rsid w:val="008B2AA3"/>
    <w:rsid w:val="008B33C1"/>
    <w:rsid w:val="008B707D"/>
    <w:rsid w:val="008C1811"/>
    <w:rsid w:val="008C2535"/>
    <w:rsid w:val="008C471E"/>
    <w:rsid w:val="008C6322"/>
    <w:rsid w:val="008C7047"/>
    <w:rsid w:val="008D050C"/>
    <w:rsid w:val="008D498E"/>
    <w:rsid w:val="008E14AF"/>
    <w:rsid w:val="008E3D03"/>
    <w:rsid w:val="008E43D1"/>
    <w:rsid w:val="008E56F8"/>
    <w:rsid w:val="008E64CB"/>
    <w:rsid w:val="008F32CD"/>
    <w:rsid w:val="008F35A0"/>
    <w:rsid w:val="008F41E3"/>
    <w:rsid w:val="008F4914"/>
    <w:rsid w:val="00905E05"/>
    <w:rsid w:val="009064F7"/>
    <w:rsid w:val="009079AE"/>
    <w:rsid w:val="00907A27"/>
    <w:rsid w:val="00907A95"/>
    <w:rsid w:val="00907AEA"/>
    <w:rsid w:val="00911BC0"/>
    <w:rsid w:val="0091403A"/>
    <w:rsid w:val="00915DA8"/>
    <w:rsid w:val="00916B41"/>
    <w:rsid w:val="00923B3E"/>
    <w:rsid w:val="009240BF"/>
    <w:rsid w:val="009276B0"/>
    <w:rsid w:val="00931AF0"/>
    <w:rsid w:val="00935C77"/>
    <w:rsid w:val="009377E2"/>
    <w:rsid w:val="009404CF"/>
    <w:rsid w:val="00947EA6"/>
    <w:rsid w:val="00953180"/>
    <w:rsid w:val="00954311"/>
    <w:rsid w:val="0096680B"/>
    <w:rsid w:val="00966D02"/>
    <w:rsid w:val="009678EA"/>
    <w:rsid w:val="00972192"/>
    <w:rsid w:val="00975D7D"/>
    <w:rsid w:val="009817E8"/>
    <w:rsid w:val="00982B95"/>
    <w:rsid w:val="00987A22"/>
    <w:rsid w:val="0099350E"/>
    <w:rsid w:val="00996E8E"/>
    <w:rsid w:val="009B71DC"/>
    <w:rsid w:val="009C238D"/>
    <w:rsid w:val="009C25D9"/>
    <w:rsid w:val="009C5EAE"/>
    <w:rsid w:val="009D4DAF"/>
    <w:rsid w:val="009E29C9"/>
    <w:rsid w:val="009E5884"/>
    <w:rsid w:val="009E6591"/>
    <w:rsid w:val="009F22AF"/>
    <w:rsid w:val="009F327C"/>
    <w:rsid w:val="009F799C"/>
    <w:rsid w:val="00A20532"/>
    <w:rsid w:val="00A20814"/>
    <w:rsid w:val="00A24686"/>
    <w:rsid w:val="00A2708A"/>
    <w:rsid w:val="00A33926"/>
    <w:rsid w:val="00A34796"/>
    <w:rsid w:val="00A35590"/>
    <w:rsid w:val="00A4290C"/>
    <w:rsid w:val="00A42D45"/>
    <w:rsid w:val="00A44D23"/>
    <w:rsid w:val="00A63839"/>
    <w:rsid w:val="00A6751F"/>
    <w:rsid w:val="00A749BF"/>
    <w:rsid w:val="00A74CC6"/>
    <w:rsid w:val="00A80E81"/>
    <w:rsid w:val="00A82B71"/>
    <w:rsid w:val="00A83729"/>
    <w:rsid w:val="00A93216"/>
    <w:rsid w:val="00A93F34"/>
    <w:rsid w:val="00A97519"/>
    <w:rsid w:val="00AA279E"/>
    <w:rsid w:val="00AA59A0"/>
    <w:rsid w:val="00AB2920"/>
    <w:rsid w:val="00AC3642"/>
    <w:rsid w:val="00AD4DD2"/>
    <w:rsid w:val="00AE1333"/>
    <w:rsid w:val="00AF060E"/>
    <w:rsid w:val="00AF79CB"/>
    <w:rsid w:val="00B01639"/>
    <w:rsid w:val="00B07D81"/>
    <w:rsid w:val="00B216CF"/>
    <w:rsid w:val="00B21946"/>
    <w:rsid w:val="00B262C8"/>
    <w:rsid w:val="00B30D09"/>
    <w:rsid w:val="00B34C51"/>
    <w:rsid w:val="00B41404"/>
    <w:rsid w:val="00B41EA1"/>
    <w:rsid w:val="00B505F9"/>
    <w:rsid w:val="00B510BF"/>
    <w:rsid w:val="00B531AB"/>
    <w:rsid w:val="00B651E4"/>
    <w:rsid w:val="00B9048A"/>
    <w:rsid w:val="00B93B50"/>
    <w:rsid w:val="00BA3D5F"/>
    <w:rsid w:val="00BA47F0"/>
    <w:rsid w:val="00BA4E0F"/>
    <w:rsid w:val="00BB2E04"/>
    <w:rsid w:val="00BB34E3"/>
    <w:rsid w:val="00BB5721"/>
    <w:rsid w:val="00BD4914"/>
    <w:rsid w:val="00BD55B7"/>
    <w:rsid w:val="00BF0642"/>
    <w:rsid w:val="00BF29AC"/>
    <w:rsid w:val="00C005BC"/>
    <w:rsid w:val="00C01DF1"/>
    <w:rsid w:val="00C1070D"/>
    <w:rsid w:val="00C10B3B"/>
    <w:rsid w:val="00C11ECE"/>
    <w:rsid w:val="00C16B79"/>
    <w:rsid w:val="00C224C0"/>
    <w:rsid w:val="00C249F4"/>
    <w:rsid w:val="00C31BB5"/>
    <w:rsid w:val="00C51826"/>
    <w:rsid w:val="00C55F9D"/>
    <w:rsid w:val="00C57FF1"/>
    <w:rsid w:val="00C60145"/>
    <w:rsid w:val="00C62223"/>
    <w:rsid w:val="00C76128"/>
    <w:rsid w:val="00C8303E"/>
    <w:rsid w:val="00C83C7F"/>
    <w:rsid w:val="00C84EC9"/>
    <w:rsid w:val="00C87826"/>
    <w:rsid w:val="00C9066A"/>
    <w:rsid w:val="00C90AE0"/>
    <w:rsid w:val="00CA560E"/>
    <w:rsid w:val="00CB09CE"/>
    <w:rsid w:val="00CB6C17"/>
    <w:rsid w:val="00CB7304"/>
    <w:rsid w:val="00CB78C4"/>
    <w:rsid w:val="00CC1CB4"/>
    <w:rsid w:val="00CD2EA0"/>
    <w:rsid w:val="00CD681E"/>
    <w:rsid w:val="00CE2716"/>
    <w:rsid w:val="00CE461E"/>
    <w:rsid w:val="00CE699E"/>
    <w:rsid w:val="00CE7B3A"/>
    <w:rsid w:val="00CF5CDF"/>
    <w:rsid w:val="00CF7D07"/>
    <w:rsid w:val="00D00E94"/>
    <w:rsid w:val="00D03109"/>
    <w:rsid w:val="00D04219"/>
    <w:rsid w:val="00D100AF"/>
    <w:rsid w:val="00D24521"/>
    <w:rsid w:val="00D27C6F"/>
    <w:rsid w:val="00D43767"/>
    <w:rsid w:val="00D4461C"/>
    <w:rsid w:val="00D501A1"/>
    <w:rsid w:val="00D52251"/>
    <w:rsid w:val="00D60512"/>
    <w:rsid w:val="00D61D54"/>
    <w:rsid w:val="00D63CCB"/>
    <w:rsid w:val="00D65E59"/>
    <w:rsid w:val="00D7055A"/>
    <w:rsid w:val="00D73D1F"/>
    <w:rsid w:val="00D7465B"/>
    <w:rsid w:val="00D903E2"/>
    <w:rsid w:val="00D93260"/>
    <w:rsid w:val="00D934F0"/>
    <w:rsid w:val="00D94754"/>
    <w:rsid w:val="00D94C5D"/>
    <w:rsid w:val="00DA3DF4"/>
    <w:rsid w:val="00DB02E7"/>
    <w:rsid w:val="00DB19FF"/>
    <w:rsid w:val="00DB2168"/>
    <w:rsid w:val="00DB456B"/>
    <w:rsid w:val="00DB67FA"/>
    <w:rsid w:val="00DB6D2A"/>
    <w:rsid w:val="00DC2152"/>
    <w:rsid w:val="00DC663A"/>
    <w:rsid w:val="00DC7E22"/>
    <w:rsid w:val="00DD0632"/>
    <w:rsid w:val="00DD2A09"/>
    <w:rsid w:val="00DD31EE"/>
    <w:rsid w:val="00DD3B2B"/>
    <w:rsid w:val="00DE7345"/>
    <w:rsid w:val="00DF6EFD"/>
    <w:rsid w:val="00E000E2"/>
    <w:rsid w:val="00E020B4"/>
    <w:rsid w:val="00E07299"/>
    <w:rsid w:val="00E12162"/>
    <w:rsid w:val="00E15FE2"/>
    <w:rsid w:val="00E17A0A"/>
    <w:rsid w:val="00E20EAD"/>
    <w:rsid w:val="00E27D5F"/>
    <w:rsid w:val="00E41838"/>
    <w:rsid w:val="00E44A2E"/>
    <w:rsid w:val="00E51C99"/>
    <w:rsid w:val="00E52E82"/>
    <w:rsid w:val="00E541DB"/>
    <w:rsid w:val="00E61936"/>
    <w:rsid w:val="00E661DA"/>
    <w:rsid w:val="00E666A2"/>
    <w:rsid w:val="00E676F8"/>
    <w:rsid w:val="00E6795C"/>
    <w:rsid w:val="00E72D9D"/>
    <w:rsid w:val="00E760AA"/>
    <w:rsid w:val="00E85FC6"/>
    <w:rsid w:val="00E963FB"/>
    <w:rsid w:val="00E975A8"/>
    <w:rsid w:val="00EA543D"/>
    <w:rsid w:val="00EB025B"/>
    <w:rsid w:val="00ED4506"/>
    <w:rsid w:val="00ED5D29"/>
    <w:rsid w:val="00EE46DE"/>
    <w:rsid w:val="00EE79AE"/>
    <w:rsid w:val="00EF067B"/>
    <w:rsid w:val="00EF0CD0"/>
    <w:rsid w:val="00EF2A2C"/>
    <w:rsid w:val="00EF30E5"/>
    <w:rsid w:val="00EF5746"/>
    <w:rsid w:val="00EF587D"/>
    <w:rsid w:val="00F0098C"/>
    <w:rsid w:val="00F06D25"/>
    <w:rsid w:val="00F1512E"/>
    <w:rsid w:val="00F232DE"/>
    <w:rsid w:val="00F24977"/>
    <w:rsid w:val="00F24B2C"/>
    <w:rsid w:val="00F26279"/>
    <w:rsid w:val="00F27C6C"/>
    <w:rsid w:val="00F33BDF"/>
    <w:rsid w:val="00F37A62"/>
    <w:rsid w:val="00F45A78"/>
    <w:rsid w:val="00F468B8"/>
    <w:rsid w:val="00F52D4D"/>
    <w:rsid w:val="00F52E60"/>
    <w:rsid w:val="00F618F1"/>
    <w:rsid w:val="00F6643C"/>
    <w:rsid w:val="00F73D39"/>
    <w:rsid w:val="00F7454F"/>
    <w:rsid w:val="00F8335E"/>
    <w:rsid w:val="00F9478D"/>
    <w:rsid w:val="00FA062B"/>
    <w:rsid w:val="00FA1077"/>
    <w:rsid w:val="00FA21AA"/>
    <w:rsid w:val="00FA47DC"/>
    <w:rsid w:val="00FA6179"/>
    <w:rsid w:val="00FA66DE"/>
    <w:rsid w:val="00FB071A"/>
    <w:rsid w:val="00FB1A16"/>
    <w:rsid w:val="00FB1A1C"/>
    <w:rsid w:val="00FB2692"/>
    <w:rsid w:val="00FB5FAE"/>
    <w:rsid w:val="00FB676B"/>
    <w:rsid w:val="00FD0D95"/>
    <w:rsid w:val="00FD6CF0"/>
    <w:rsid w:val="00FD7CF9"/>
    <w:rsid w:val="00FE39A9"/>
    <w:rsid w:val="00FF1D41"/>
    <w:rsid w:val="00FF2CC0"/>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216524A7-32C8-4CE7-A7DC-182E03657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qFormat/>
    <w:rsid w:val="00670C79"/>
    <w:pPr>
      <w:keepNext/>
      <w:spacing w:line="360" w:lineRule="auto"/>
      <w:outlineLvl w:val="0"/>
    </w:pPr>
    <w:rPr>
      <w:sz w:val="28"/>
    </w:rPr>
  </w:style>
  <w:style w:type="paragraph" w:styleId="Titlu2">
    <w:name w:val="heading 2"/>
    <w:basedOn w:val="Normal"/>
    <w:next w:val="Normal"/>
    <w:link w:val="Titlu2Caracter"/>
    <w:qFormat/>
    <w:rsid w:val="00670C79"/>
    <w:pPr>
      <w:keepNext/>
      <w:jc w:val="both"/>
      <w:outlineLvl w:val="1"/>
    </w:pPr>
    <w:rPr>
      <w:sz w:val="28"/>
    </w:rPr>
  </w:style>
  <w:style w:type="paragraph" w:styleId="Titlu3">
    <w:name w:val="heading 3"/>
    <w:basedOn w:val="Normal"/>
    <w:next w:val="Normal"/>
    <w:link w:val="Titlu3Caracter"/>
    <w:uiPriority w:val="9"/>
    <w:semiHidden/>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Titlu6">
    <w:name w:val="heading 6"/>
    <w:basedOn w:val="Normal"/>
    <w:next w:val="Normal"/>
    <w:link w:val="Titlu6Caracter"/>
    <w:qFormat/>
    <w:rsid w:val="00670C79"/>
    <w:pPr>
      <w:keepNext/>
      <w:spacing w:before="120" w:after="120" w:line="360" w:lineRule="auto"/>
      <w:outlineLvl w:val="5"/>
    </w:pPr>
    <w:rPr>
      <w:b/>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670C79"/>
    <w:rPr>
      <w:rFonts w:ascii="Times New Roman" w:eastAsia="Times New Roman" w:hAnsi="Times New Roman" w:cs="Times New Roman"/>
      <w:sz w:val="28"/>
      <w:szCs w:val="24"/>
      <w:lang w:val="ro-RO"/>
    </w:rPr>
  </w:style>
  <w:style w:type="character" w:customStyle="1" w:styleId="Titlu2Caracter">
    <w:name w:val="Titlu 2 Caracter"/>
    <w:basedOn w:val="Fontdeparagrafimplicit"/>
    <w:link w:val="Titlu2"/>
    <w:rsid w:val="00670C79"/>
    <w:rPr>
      <w:rFonts w:ascii="Times New Roman" w:eastAsia="Times New Roman" w:hAnsi="Times New Roman" w:cs="Times New Roman"/>
      <w:sz w:val="28"/>
      <w:szCs w:val="24"/>
      <w:lang w:val="ro-RO"/>
    </w:rPr>
  </w:style>
  <w:style w:type="character" w:customStyle="1" w:styleId="Titlu6Caracter">
    <w:name w:val="Titlu 6 Caracter"/>
    <w:basedOn w:val="Fontdeparagrafimplicit"/>
    <w:link w:val="Titlu6"/>
    <w:rsid w:val="00670C79"/>
    <w:rPr>
      <w:rFonts w:ascii="Times New Roman" w:eastAsia="Times New Roman" w:hAnsi="Times New Roman" w:cs="Times New Roman"/>
      <w:b/>
      <w:sz w:val="28"/>
      <w:szCs w:val="24"/>
      <w:lang w:val="ro-RO"/>
    </w:rPr>
  </w:style>
  <w:style w:type="paragraph" w:styleId="Indentcorptext2">
    <w:name w:val="Body Text Indent 2"/>
    <w:basedOn w:val="Normal"/>
    <w:link w:val="Indentcorptext2Caracter"/>
    <w:semiHidden/>
    <w:rsid w:val="00670C79"/>
    <w:pPr>
      <w:spacing w:before="120" w:after="120" w:line="360" w:lineRule="auto"/>
      <w:ind w:firstLine="357"/>
    </w:pPr>
    <w:rPr>
      <w:b/>
      <w:bCs/>
      <w:sz w:val="28"/>
    </w:rPr>
  </w:style>
  <w:style w:type="character" w:customStyle="1" w:styleId="Indentcorptext2Caracter">
    <w:name w:val="Indent corp text 2 Caracter"/>
    <w:basedOn w:val="Fontdeparagrafimplicit"/>
    <w:link w:val="Indentcorptext2"/>
    <w:semiHidden/>
    <w:rsid w:val="00670C79"/>
    <w:rPr>
      <w:rFonts w:ascii="Times New Roman" w:eastAsia="Times New Roman" w:hAnsi="Times New Roman" w:cs="Times New Roman"/>
      <w:b/>
      <w:bCs/>
      <w:sz w:val="28"/>
      <w:szCs w:val="24"/>
      <w:lang w:val="ro-RO"/>
    </w:rPr>
  </w:style>
  <w:style w:type="paragraph" w:styleId="Corptext2">
    <w:name w:val="Body Text 2"/>
    <w:basedOn w:val="Normal"/>
    <w:link w:val="Corptext2Caracter"/>
    <w:semiHidden/>
    <w:rsid w:val="00670C79"/>
    <w:pPr>
      <w:jc w:val="both"/>
    </w:pPr>
    <w:rPr>
      <w:sz w:val="28"/>
    </w:rPr>
  </w:style>
  <w:style w:type="character" w:customStyle="1" w:styleId="Corptext2Caracter">
    <w:name w:val="Corp text 2 Caracter"/>
    <w:basedOn w:val="Fontdeparagrafimplicit"/>
    <w:link w:val="Corptext2"/>
    <w:semiHidden/>
    <w:rsid w:val="00670C79"/>
    <w:rPr>
      <w:rFonts w:ascii="Times New Roman" w:eastAsia="Times New Roman" w:hAnsi="Times New Roman" w:cs="Times New Roman"/>
      <w:sz w:val="28"/>
      <w:szCs w:val="24"/>
      <w:lang w:val="ro-RO"/>
    </w:rPr>
  </w:style>
  <w:style w:type="paragraph" w:styleId="Titlu">
    <w:name w:val="Title"/>
    <w:basedOn w:val="Normal"/>
    <w:link w:val="TitluCaracter"/>
    <w:qFormat/>
    <w:rsid w:val="00670C79"/>
    <w:pPr>
      <w:spacing w:line="360" w:lineRule="auto"/>
      <w:jc w:val="center"/>
    </w:pPr>
    <w:rPr>
      <w:b/>
      <w:sz w:val="32"/>
      <w:szCs w:val="32"/>
    </w:rPr>
  </w:style>
  <w:style w:type="character" w:customStyle="1" w:styleId="TitluCaracter">
    <w:name w:val="Titlu Caracter"/>
    <w:basedOn w:val="Fontdeparagrafimplicit"/>
    <w:link w:val="Titlu"/>
    <w:rsid w:val="00670C79"/>
    <w:rPr>
      <w:rFonts w:ascii="Times New Roman" w:eastAsia="Times New Roman" w:hAnsi="Times New Roman" w:cs="Times New Roman"/>
      <w:b/>
      <w:sz w:val="32"/>
      <w:szCs w:val="32"/>
      <w:lang w:val="ro-RO"/>
    </w:rPr>
  </w:style>
  <w:style w:type="paragraph" w:styleId="Subsol">
    <w:name w:val="footer"/>
    <w:basedOn w:val="Normal"/>
    <w:link w:val="SubsolCaracter"/>
    <w:uiPriority w:val="99"/>
    <w:rsid w:val="00670C79"/>
    <w:pPr>
      <w:tabs>
        <w:tab w:val="center" w:pos="4536"/>
        <w:tab w:val="right" w:pos="9072"/>
      </w:tabs>
    </w:pPr>
  </w:style>
  <w:style w:type="character" w:customStyle="1" w:styleId="SubsolCaracter">
    <w:name w:val="Subsol Caracter"/>
    <w:basedOn w:val="Fontdeparagrafimplicit"/>
    <w:link w:val="Subsol"/>
    <w:uiPriority w:val="99"/>
    <w:rsid w:val="00670C79"/>
    <w:rPr>
      <w:rFonts w:ascii="Times New Roman" w:eastAsia="Times New Roman" w:hAnsi="Times New Roman" w:cs="Times New Roman"/>
      <w:sz w:val="24"/>
      <w:szCs w:val="24"/>
      <w:lang w:val="ro-RO"/>
    </w:rPr>
  </w:style>
  <w:style w:type="character" w:styleId="Numrdepagin">
    <w:name w:val="page number"/>
    <w:basedOn w:val="Fontdeparagrafimplicit"/>
    <w:rsid w:val="00670C79"/>
  </w:style>
  <w:style w:type="table" w:styleId="Tabelgril">
    <w:name w:val="Table Grid"/>
    <w:basedOn w:val="Tabel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atHTML">
    <w:name w:val="HTML Preformatted"/>
    <w:basedOn w:val="Normal"/>
    <w:link w:val="PreformatatHTMLCaracte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PreformatatHTMLCaracter">
    <w:name w:val="Preformatat HTML Caracter"/>
    <w:basedOn w:val="Fontdeparagrafimplicit"/>
    <w:link w:val="PreformatatHTML"/>
    <w:uiPriority w:val="99"/>
    <w:rsid w:val="00670C79"/>
    <w:rPr>
      <w:rFonts w:ascii="Courier New" w:eastAsia="Times New Roman" w:hAnsi="Courier New" w:cs="Courier New"/>
      <w:sz w:val="20"/>
      <w:szCs w:val="20"/>
      <w:lang w:val="ro-RO" w:eastAsia="ro-RO"/>
    </w:rPr>
  </w:style>
  <w:style w:type="paragraph" w:styleId="Frspaiere">
    <w:name w:val="No Spacing"/>
    <w:link w:val="FrspaiereCaracter"/>
    <w:qFormat/>
    <w:rsid w:val="00966D02"/>
    <w:pPr>
      <w:spacing w:after="0" w:line="240" w:lineRule="auto"/>
    </w:pPr>
    <w:rPr>
      <w:rFonts w:ascii="Calibri" w:eastAsia="Calibri" w:hAnsi="Calibri" w:cs="Times New Roman"/>
    </w:rPr>
  </w:style>
  <w:style w:type="character" w:customStyle="1" w:styleId="FrspaiereCaracter">
    <w:name w:val="Fără spațiere Caracter"/>
    <w:link w:val="Frspaiere"/>
    <w:locked/>
    <w:rsid w:val="00966D02"/>
    <w:rPr>
      <w:rFonts w:ascii="Calibri" w:eastAsia="Calibri" w:hAnsi="Calibri" w:cs="Times New Roman"/>
    </w:rPr>
  </w:style>
  <w:style w:type="paragraph" w:styleId="TextnBalon">
    <w:name w:val="Balloon Text"/>
    <w:basedOn w:val="Normal"/>
    <w:link w:val="TextnBalonCaracter"/>
    <w:uiPriority w:val="99"/>
    <w:semiHidden/>
    <w:unhideWhenUsed/>
    <w:rsid w:val="00BA4E0F"/>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A4E0F"/>
    <w:rPr>
      <w:rFonts w:ascii="Tahoma" w:eastAsia="Times New Roman" w:hAnsi="Tahoma" w:cs="Tahoma"/>
      <w:sz w:val="16"/>
      <w:szCs w:val="16"/>
      <w:lang w:val="ro-RO"/>
    </w:rPr>
  </w:style>
  <w:style w:type="character" w:styleId="Referincomentariu">
    <w:name w:val="annotation reference"/>
    <w:basedOn w:val="Fontdeparagrafimplicit"/>
    <w:unhideWhenUsed/>
    <w:rsid w:val="00CE7B3A"/>
    <w:rPr>
      <w:sz w:val="16"/>
      <w:szCs w:val="16"/>
    </w:rPr>
  </w:style>
  <w:style w:type="paragraph" w:styleId="Textcomentariu">
    <w:name w:val="annotation text"/>
    <w:basedOn w:val="Normal"/>
    <w:link w:val="TextcomentariuCaracter"/>
    <w:unhideWhenUsed/>
    <w:rsid w:val="00CE7B3A"/>
    <w:rPr>
      <w:sz w:val="20"/>
      <w:szCs w:val="20"/>
    </w:rPr>
  </w:style>
  <w:style w:type="character" w:customStyle="1" w:styleId="TextcomentariuCaracter">
    <w:name w:val="Text comentariu Caracter"/>
    <w:basedOn w:val="Fontdeparagrafimplicit"/>
    <w:link w:val="Textcomentariu"/>
    <w:rsid w:val="00CE7B3A"/>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CE7B3A"/>
    <w:rPr>
      <w:b/>
      <w:bCs/>
    </w:rPr>
  </w:style>
  <w:style w:type="character" w:customStyle="1" w:styleId="SubiectComentariuCaracter">
    <w:name w:val="Subiect Comentariu Caracter"/>
    <w:basedOn w:val="TextcomentariuCaracter"/>
    <w:link w:val="SubiectComentariu"/>
    <w:uiPriority w:val="99"/>
    <w:semiHidden/>
    <w:rsid w:val="00CE7B3A"/>
    <w:rPr>
      <w:rFonts w:ascii="Times New Roman" w:eastAsia="Times New Roman" w:hAnsi="Times New Roman" w:cs="Times New Roman"/>
      <w:b/>
      <w:bCs/>
      <w:sz w:val="20"/>
      <w:szCs w:val="20"/>
      <w:lang w:val="ro-RO"/>
    </w:rPr>
  </w:style>
  <w:style w:type="character" w:customStyle="1" w:styleId="Titlu3Caracter">
    <w:name w:val="Titlu 3 Caracter"/>
    <w:basedOn w:val="Fontdeparagrafimplicit"/>
    <w:link w:val="Titlu3"/>
    <w:uiPriority w:val="9"/>
    <w:semiHidden/>
    <w:rsid w:val="00C01DF1"/>
    <w:rPr>
      <w:rFonts w:asciiTheme="majorHAnsi" w:eastAsiaTheme="majorEastAsia" w:hAnsiTheme="majorHAnsi" w:cstheme="majorBidi"/>
      <w:b/>
      <w:bCs/>
      <w:color w:val="5B9BD5" w:themeColor="accent1"/>
      <w:sz w:val="24"/>
      <w:szCs w:val="24"/>
      <w:lang w:val="ro-RO"/>
    </w:rPr>
  </w:style>
  <w:style w:type="paragraph" w:styleId="Listparagraf">
    <w:name w:val="List Paragraph"/>
    <w:aliases w:val="Normal bullet 2,List Paragraph1,List1,body 2,List Paragraph11,Listă colorată - Accentuare 11,Bullet,Citation List,Forth level"/>
    <w:basedOn w:val="Normal"/>
    <w:link w:val="ListparagrafCaracter"/>
    <w:uiPriority w:val="99"/>
    <w:qFormat/>
    <w:rsid w:val="00CD681E"/>
    <w:pPr>
      <w:ind w:left="720"/>
      <w:contextualSpacing/>
    </w:pPr>
    <w:rPr>
      <w:rFonts w:asciiTheme="minorHAnsi" w:eastAsiaTheme="minorHAnsi" w:hAnsiTheme="minorHAnsi" w:cstheme="minorBidi"/>
    </w:rPr>
  </w:style>
  <w:style w:type="character" w:customStyle="1" w:styleId="ListparagrafCaracter">
    <w:name w:val="Listă paragraf Caracter"/>
    <w:aliases w:val="Normal bullet 2 Caracter,List Paragraph1 Caracter,List1 Caracter,body 2 Caracter,List Paragraph11 Caracter,Listă colorată - Accentuare 11 Caracter,Bullet Caracter,Citation List Caracter,Forth level Caracter"/>
    <w:link w:val="Listparagraf"/>
    <w:uiPriority w:val="99"/>
    <w:locked/>
    <w:rsid w:val="009B71DC"/>
    <w:rPr>
      <w:sz w:val="24"/>
      <w:szCs w:val="24"/>
      <w:lang w:val="ro-RO"/>
    </w:rPr>
  </w:style>
  <w:style w:type="character" w:customStyle="1" w:styleId="ColorfulList-Accent1Char">
    <w:name w:val="Colorful List - Accent 1 Char"/>
    <w:link w:val="Listcolorat-Accentuare1"/>
    <w:uiPriority w:val="34"/>
    <w:locked/>
    <w:rsid w:val="009B71DC"/>
    <w:rPr>
      <w:noProof/>
      <w:sz w:val="24"/>
      <w:szCs w:val="24"/>
      <w:lang w:val="ro-RO"/>
    </w:rPr>
  </w:style>
  <w:style w:type="table" w:styleId="Listcolorat-Accentuare1">
    <w:name w:val="Colorful List Accent 1"/>
    <w:basedOn w:val="Tabel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Antet">
    <w:name w:val="header"/>
    <w:basedOn w:val="Normal"/>
    <w:link w:val="AntetCaracter"/>
    <w:uiPriority w:val="99"/>
    <w:unhideWhenUsed/>
    <w:rsid w:val="00BA47F0"/>
    <w:pPr>
      <w:tabs>
        <w:tab w:val="center" w:pos="4536"/>
        <w:tab w:val="right" w:pos="9072"/>
      </w:tabs>
    </w:pPr>
  </w:style>
  <w:style w:type="character" w:customStyle="1" w:styleId="AntetCaracter">
    <w:name w:val="Antet Caracter"/>
    <w:basedOn w:val="Fontdeparagrafimplicit"/>
    <w:link w:val="Antet"/>
    <w:uiPriority w:val="99"/>
    <w:rsid w:val="00BA47F0"/>
    <w:rPr>
      <w:rFonts w:ascii="Times New Roman" w:eastAsia="Times New Roman" w:hAnsi="Times New Roman" w:cs="Times New Roman"/>
      <w:sz w:val="24"/>
      <w:szCs w:val="24"/>
      <w:lang w:val="ro-RO"/>
    </w:rPr>
  </w:style>
  <w:style w:type="character" w:customStyle="1" w:styleId="panchor">
    <w:name w:val="panchor"/>
    <w:basedOn w:val="Fontdeparagrafimplicit"/>
    <w:rsid w:val="00161A61"/>
  </w:style>
  <w:style w:type="character" w:styleId="Hyperlink">
    <w:name w:val="Hyperlink"/>
    <w:basedOn w:val="Fontdeparagrafimplicit"/>
    <w:uiPriority w:val="99"/>
    <w:semiHidden/>
    <w:unhideWhenUsed/>
    <w:rsid w:val="001B7961"/>
    <w:rPr>
      <w:color w:val="0000FF"/>
      <w:u w:val="single"/>
    </w:rPr>
  </w:style>
  <w:style w:type="character" w:customStyle="1" w:styleId="slgi">
    <w:name w:val="s_lgi"/>
    <w:basedOn w:val="Fontdeparagrafimplicit"/>
    <w:rsid w:val="00EF0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5800E-DD6B-41AA-9A15-89CC25D43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3230</Words>
  <Characters>18416</Characters>
  <Application>Microsoft Office Word</Application>
  <DocSecurity>0</DocSecurity>
  <Lines>153</Lines>
  <Paragraphs>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BADESCU CRISTINA</cp:lastModifiedBy>
  <cp:revision>4</cp:revision>
  <cp:lastPrinted>2020-07-01T13:48:00Z</cp:lastPrinted>
  <dcterms:created xsi:type="dcterms:W3CDTF">2020-07-21T11:34:00Z</dcterms:created>
  <dcterms:modified xsi:type="dcterms:W3CDTF">2020-07-29T10:07:00Z</dcterms:modified>
</cp:coreProperties>
</file>